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C4D6" w14:textId="0D1A72E4" w:rsidR="00D426A4" w:rsidRPr="00955023" w:rsidRDefault="00FD282D" w:rsidP="00196310">
      <w:pPr>
        <w:spacing w:line="480" w:lineRule="auto"/>
        <w:jc w:val="center"/>
        <w:rPr>
          <w:rFonts w:eastAsia="Times New Roman"/>
          <w:sz w:val="28"/>
          <w:szCs w:val="28"/>
        </w:rPr>
      </w:pPr>
      <w:r w:rsidRPr="00955023">
        <w:rPr>
          <w:rFonts w:eastAsia="Times New Roman"/>
          <w:b/>
          <w:sz w:val="28"/>
          <w:szCs w:val="28"/>
          <w:u w:val="single"/>
        </w:rPr>
        <w:t>Introduction</w:t>
      </w:r>
      <w:r w:rsidRPr="00955023">
        <w:rPr>
          <w:rFonts w:eastAsia="Times New Roman"/>
          <w:sz w:val="28"/>
          <w:szCs w:val="28"/>
        </w:rPr>
        <w:t>.</w:t>
      </w:r>
    </w:p>
    <w:p w14:paraId="51FDAE6B" w14:textId="77777777" w:rsidR="00A452B3" w:rsidRPr="00955023" w:rsidRDefault="00A452B3" w:rsidP="00196310">
      <w:pPr>
        <w:spacing w:line="480" w:lineRule="auto"/>
        <w:rPr>
          <w:rFonts w:eastAsia="Times New Roman"/>
          <w:sz w:val="28"/>
          <w:szCs w:val="28"/>
        </w:rPr>
      </w:pPr>
    </w:p>
    <w:p w14:paraId="0C191592" w14:textId="0A76762F" w:rsidR="00A452B3" w:rsidRDefault="00955023" w:rsidP="00196310">
      <w:pPr>
        <w:spacing w:line="480" w:lineRule="auto"/>
        <w:rPr>
          <w:sz w:val="28"/>
          <w:szCs w:val="28"/>
        </w:rPr>
      </w:pPr>
      <w:r>
        <w:rPr>
          <w:rFonts w:eastAsia="Times New Roman"/>
          <w:sz w:val="28"/>
          <w:szCs w:val="28"/>
        </w:rPr>
        <w:t>Respondent</w:t>
      </w:r>
      <w:r w:rsidR="00074359">
        <w:rPr>
          <w:rFonts w:eastAsia="Times New Roman"/>
          <w:sz w:val="28"/>
          <w:szCs w:val="28"/>
        </w:rPr>
        <w:t xml:space="preserve"> moves this Court</w:t>
      </w:r>
      <w:r w:rsidR="004F5140">
        <w:rPr>
          <w:rFonts w:eastAsia="Times New Roman"/>
          <w:sz w:val="28"/>
          <w:szCs w:val="28"/>
        </w:rPr>
        <w:t xml:space="preserve"> </w:t>
      </w:r>
      <w:r w:rsidRPr="00955023">
        <w:rPr>
          <w:rFonts w:eastAsia="Times New Roman"/>
          <w:sz w:val="28"/>
          <w:szCs w:val="28"/>
        </w:rPr>
        <w:t xml:space="preserve">to terminate removal proceedings under the </w:t>
      </w:r>
      <w:r w:rsidRPr="00EA1D91">
        <w:rPr>
          <w:rFonts w:eastAsia="Times New Roman"/>
          <w:i/>
          <w:color w:val="C00000"/>
          <w:sz w:val="28"/>
          <w:szCs w:val="28"/>
        </w:rPr>
        <w:t>legal presumption of lack of subject-matter jurisdiction</w:t>
      </w:r>
      <w:r w:rsidRPr="00955023">
        <w:rPr>
          <w:rFonts w:eastAsia="Times New Roman"/>
          <w:sz w:val="28"/>
          <w:szCs w:val="28"/>
        </w:rPr>
        <w:t xml:space="preserve">, because government is precluded from meeting its burden of overcoming this presumption in light of </w:t>
      </w:r>
      <w:r w:rsidRPr="00955023">
        <w:rPr>
          <w:i/>
          <w:sz w:val="28"/>
          <w:szCs w:val="28"/>
        </w:rPr>
        <w:t>Niz-Chavez v Garland</w:t>
      </w:r>
      <w:r w:rsidRPr="00955023">
        <w:rPr>
          <w:sz w:val="28"/>
          <w:szCs w:val="28"/>
        </w:rPr>
        <w:t>, 593 U.S. ___ (2021)</w:t>
      </w:r>
      <w:r w:rsidR="00074359">
        <w:rPr>
          <w:sz w:val="28"/>
          <w:szCs w:val="28"/>
        </w:rPr>
        <w:t xml:space="preserve">, alternatively, Respondent </w:t>
      </w:r>
      <w:r w:rsidR="00074359" w:rsidRPr="00955023">
        <w:rPr>
          <w:rFonts w:eastAsia="Times New Roman"/>
          <w:sz w:val="28"/>
          <w:szCs w:val="28"/>
        </w:rPr>
        <w:t xml:space="preserve">moves </w:t>
      </w:r>
      <w:r w:rsidR="00074359">
        <w:rPr>
          <w:rFonts w:eastAsia="Times New Roman"/>
          <w:sz w:val="28"/>
          <w:szCs w:val="28"/>
        </w:rPr>
        <w:t>this Court to determine whether the Court has subject-matter jurisdiction to hold removal proceedings against Respondent</w:t>
      </w:r>
      <w:r w:rsidR="00EA1D91">
        <w:rPr>
          <w:rFonts w:eastAsia="Times New Roman"/>
          <w:sz w:val="28"/>
          <w:szCs w:val="28"/>
        </w:rPr>
        <w:t>.</w:t>
      </w:r>
    </w:p>
    <w:p w14:paraId="79C12711" w14:textId="77777777" w:rsidR="004F5140" w:rsidRDefault="004F5140" w:rsidP="00196310">
      <w:pPr>
        <w:spacing w:line="480" w:lineRule="auto"/>
        <w:rPr>
          <w:sz w:val="28"/>
          <w:szCs w:val="28"/>
        </w:rPr>
      </w:pPr>
    </w:p>
    <w:p w14:paraId="0204B6B5" w14:textId="3CD62BC3" w:rsidR="004F5140" w:rsidRDefault="004F5140" w:rsidP="00196310">
      <w:pPr>
        <w:spacing w:line="480" w:lineRule="auto"/>
        <w:rPr>
          <w:sz w:val="28"/>
          <w:szCs w:val="28"/>
        </w:rPr>
      </w:pPr>
      <w:r w:rsidRPr="007F7D20">
        <w:rPr>
          <w:rFonts w:ascii="Times" w:hAnsi="Times"/>
          <w:color w:val="0000FF"/>
          <w:sz w:val="28"/>
          <w:szCs w:val="28"/>
        </w:rPr>
        <w:t>The Federal Rules of Civil Procedure provide that “[i]f the court determines at any time that it lacks subject-matter jurisdiction, the court must dismiss the action.” Def. R. Civ. P. 12(h)(3).</w:t>
      </w:r>
      <w:r>
        <w:rPr>
          <w:rFonts w:ascii="Times" w:hAnsi="Times"/>
          <w:color w:val="0000FF"/>
          <w:sz w:val="28"/>
          <w:szCs w:val="28"/>
        </w:rPr>
        <w:t xml:space="preserve"> </w:t>
      </w:r>
    </w:p>
    <w:p w14:paraId="6C381DB4" w14:textId="77777777" w:rsidR="00C3067C" w:rsidRDefault="00C3067C" w:rsidP="00196310">
      <w:pPr>
        <w:spacing w:line="480" w:lineRule="auto"/>
        <w:rPr>
          <w:sz w:val="28"/>
          <w:szCs w:val="28"/>
        </w:rPr>
      </w:pPr>
    </w:p>
    <w:p w14:paraId="61E3734A" w14:textId="77777777" w:rsidR="00955023" w:rsidRPr="00955023" w:rsidRDefault="00955023" w:rsidP="00196310">
      <w:pPr>
        <w:spacing w:line="480" w:lineRule="auto"/>
        <w:rPr>
          <w:rFonts w:eastAsia="Times New Roman"/>
          <w:sz w:val="28"/>
          <w:szCs w:val="28"/>
        </w:rPr>
      </w:pPr>
    </w:p>
    <w:p w14:paraId="1B1F9564" w14:textId="2B19CA35" w:rsidR="001853E9" w:rsidRPr="00955023" w:rsidRDefault="00D426A4" w:rsidP="00196310">
      <w:pPr>
        <w:pStyle w:val="NormalWeb"/>
        <w:spacing w:line="480" w:lineRule="auto"/>
        <w:ind w:firstLine="720"/>
        <w:jc w:val="center"/>
        <w:rPr>
          <w:sz w:val="28"/>
          <w:szCs w:val="28"/>
          <w:bdr w:val="none" w:sz="0" w:space="0" w:color="auto" w:frame="1"/>
        </w:rPr>
      </w:pPr>
      <w:r w:rsidRPr="00955023">
        <w:rPr>
          <w:b/>
          <w:sz w:val="28"/>
          <w:szCs w:val="28"/>
          <w:u w:val="single"/>
          <w:bdr w:val="none" w:sz="0" w:space="0" w:color="auto" w:frame="1"/>
        </w:rPr>
        <w:t xml:space="preserve">This Court’s obligation to determine whether it has </w:t>
      </w:r>
      <w:r w:rsidRPr="00955023">
        <w:rPr>
          <w:b/>
          <w:i/>
          <w:sz w:val="28"/>
          <w:szCs w:val="28"/>
          <w:u w:val="single"/>
          <w:bdr w:val="none" w:sz="0" w:space="0" w:color="auto" w:frame="1"/>
        </w:rPr>
        <w:t>subject-matter</w:t>
      </w:r>
      <w:r w:rsidRPr="00955023">
        <w:rPr>
          <w:b/>
          <w:sz w:val="28"/>
          <w:szCs w:val="28"/>
          <w:u w:val="single"/>
          <w:bdr w:val="none" w:sz="0" w:space="0" w:color="auto" w:frame="1"/>
        </w:rPr>
        <w:t xml:space="preserve"> jurisdiction</w:t>
      </w:r>
      <w:r w:rsidR="003877F4" w:rsidRPr="00955023">
        <w:rPr>
          <w:b/>
          <w:sz w:val="28"/>
          <w:szCs w:val="28"/>
          <w:u w:val="single"/>
          <w:bdr w:val="none" w:sz="0" w:space="0" w:color="auto" w:frame="1"/>
        </w:rPr>
        <w:t xml:space="preserve"> to hold removal proceedings against Respondent</w:t>
      </w:r>
      <w:r w:rsidRPr="00955023">
        <w:rPr>
          <w:sz w:val="28"/>
          <w:szCs w:val="28"/>
          <w:bdr w:val="none" w:sz="0" w:space="0" w:color="auto" w:frame="1"/>
        </w:rPr>
        <w:t>.</w:t>
      </w:r>
    </w:p>
    <w:p w14:paraId="0A8F3BC4" w14:textId="5AF15153" w:rsidR="00CA12C7" w:rsidRDefault="00684123" w:rsidP="00196310">
      <w:pPr>
        <w:spacing w:before="100" w:beforeAutospacing="1" w:after="100" w:afterAutospacing="1" w:line="480" w:lineRule="auto"/>
        <w:rPr>
          <w:sz w:val="28"/>
          <w:szCs w:val="28"/>
        </w:rPr>
      </w:pPr>
      <w:r w:rsidRPr="00955023">
        <w:rPr>
          <w:sz w:val="28"/>
          <w:szCs w:val="28"/>
        </w:rPr>
        <w:t>Any court has an</w:t>
      </w:r>
      <w:r w:rsidR="00D426A4" w:rsidRPr="00D426A4">
        <w:rPr>
          <w:sz w:val="28"/>
          <w:szCs w:val="28"/>
        </w:rPr>
        <w:t xml:space="preserve"> “independent obligation to determine whether subject-matter jurisdiction exists, even in the absence of a challenge from any party.” </w:t>
      </w:r>
      <w:r w:rsidR="00D426A4" w:rsidRPr="00D426A4">
        <w:rPr>
          <w:i/>
          <w:iCs/>
          <w:sz w:val="28"/>
          <w:szCs w:val="28"/>
        </w:rPr>
        <w:t>Arbaugh v. Y &amp; H Corp.</w:t>
      </w:r>
      <w:r w:rsidR="00D426A4" w:rsidRPr="00D426A4">
        <w:rPr>
          <w:sz w:val="28"/>
          <w:szCs w:val="28"/>
        </w:rPr>
        <w:t xml:space="preserve">, 546 U.S. 500, 514 (2006) (citing </w:t>
      </w:r>
      <w:r w:rsidR="00D426A4" w:rsidRPr="00D426A4">
        <w:rPr>
          <w:i/>
          <w:iCs/>
          <w:sz w:val="28"/>
          <w:szCs w:val="28"/>
        </w:rPr>
        <w:t>Ruhgras AG v. Marathon Oil Co.</w:t>
      </w:r>
      <w:r w:rsidR="00D426A4" w:rsidRPr="00D426A4">
        <w:rPr>
          <w:sz w:val="28"/>
          <w:szCs w:val="28"/>
        </w:rPr>
        <w:t>, 526 U.S. 574, 583 (1999))</w:t>
      </w:r>
      <w:r w:rsidR="00187009">
        <w:rPr>
          <w:sz w:val="28"/>
          <w:szCs w:val="28"/>
        </w:rPr>
        <w:t>.</w:t>
      </w:r>
      <w:r w:rsidR="00D426A4" w:rsidRPr="00D426A4">
        <w:rPr>
          <w:sz w:val="28"/>
          <w:szCs w:val="28"/>
        </w:rPr>
        <w:t xml:space="preserve"> </w:t>
      </w:r>
    </w:p>
    <w:p w14:paraId="19146A79" w14:textId="0C62823E" w:rsidR="00B812E8" w:rsidRPr="00B812E8" w:rsidRDefault="00B812E8" w:rsidP="00196310">
      <w:pPr>
        <w:spacing w:before="100" w:beforeAutospacing="1" w:after="100" w:afterAutospacing="1" w:line="480" w:lineRule="auto"/>
        <w:rPr>
          <w:sz w:val="28"/>
          <w:szCs w:val="28"/>
        </w:rPr>
      </w:pPr>
      <w:r w:rsidRPr="00955023">
        <w:rPr>
          <w:sz w:val="28"/>
          <w:szCs w:val="28"/>
        </w:rPr>
        <w:lastRenderedPageBreak/>
        <w:t>According to the</w:t>
      </w:r>
      <w:r w:rsidRPr="00B812E8">
        <w:rPr>
          <w:sz w:val="28"/>
          <w:szCs w:val="28"/>
        </w:rPr>
        <w:t xml:space="preserve"> Supreme Court</w:t>
      </w:r>
      <w:r w:rsidRPr="00955023">
        <w:rPr>
          <w:sz w:val="28"/>
          <w:szCs w:val="28"/>
        </w:rPr>
        <w:t>,</w:t>
      </w:r>
    </w:p>
    <w:p w14:paraId="10BB2C2D" w14:textId="77777777" w:rsidR="00B812E8" w:rsidRPr="00955023" w:rsidRDefault="00B812E8" w:rsidP="00196310">
      <w:pPr>
        <w:pStyle w:val="NormalWeb"/>
        <w:spacing w:line="480" w:lineRule="auto"/>
        <w:ind w:left="720"/>
        <w:rPr>
          <w:rFonts w:eastAsiaTheme="minorHAnsi"/>
          <w:sz w:val="28"/>
          <w:szCs w:val="28"/>
        </w:rPr>
      </w:pPr>
      <w:r w:rsidRPr="00955023">
        <w:rPr>
          <w:sz w:val="28"/>
          <w:szCs w:val="28"/>
        </w:rPr>
        <w:t>“</w:t>
      </w:r>
      <w:r w:rsidRPr="00B812E8">
        <w:rPr>
          <w:sz w:val="28"/>
          <w:szCs w:val="28"/>
        </w:rPr>
        <w:t xml:space="preserve">Subject-matter jurisdiction, then, is an Art. III as well as a statutory requirement; it functions as a restriction on federal power, and contributes to the characterization of the federal sovereign. Certain </w:t>
      </w:r>
      <w:r w:rsidRPr="00955023">
        <w:rPr>
          <w:rFonts w:eastAsiaTheme="minorHAnsi"/>
          <w:sz w:val="28"/>
          <w:szCs w:val="28"/>
        </w:rPr>
        <w:t xml:space="preserve">legal consequences directly follow from this. For example, no action of the parties can confer subject-matter jurisdiction upon a federal court. Thus, the consent of the parties is irrelevant, </w:t>
      </w:r>
      <w:r w:rsidRPr="00955023">
        <w:rPr>
          <w:rFonts w:eastAsiaTheme="minorHAnsi"/>
          <w:i/>
          <w:iCs/>
          <w:sz w:val="28"/>
          <w:szCs w:val="28"/>
        </w:rPr>
        <w:t>California v. LaRue</w:t>
      </w:r>
      <w:r w:rsidRPr="00955023">
        <w:rPr>
          <w:rFonts w:eastAsiaTheme="minorHAnsi"/>
          <w:sz w:val="28"/>
          <w:szCs w:val="28"/>
        </w:rPr>
        <w:t xml:space="preserve">, 409 U. S. 109 (1972), principles of estoppel do not apply, </w:t>
      </w:r>
      <w:r w:rsidRPr="00955023">
        <w:rPr>
          <w:rFonts w:eastAsiaTheme="minorHAnsi"/>
          <w:i/>
          <w:iCs/>
          <w:sz w:val="28"/>
          <w:szCs w:val="28"/>
        </w:rPr>
        <w:t>Am. Fire &amp; Casualty Co. v. Finn</w:t>
      </w:r>
      <w:r w:rsidRPr="00955023">
        <w:rPr>
          <w:rFonts w:eastAsiaTheme="minorHAnsi"/>
          <w:sz w:val="28"/>
          <w:szCs w:val="28"/>
        </w:rPr>
        <w:t>, 341 U. S. 6, 17-18 (1951), and a party does not waive the requirement by failing to challenge jurisdiction early in the proceedings.”</w:t>
      </w:r>
    </w:p>
    <w:p w14:paraId="4A7E1D96" w14:textId="0CB98D03" w:rsidR="00B812E8" w:rsidRDefault="00B812E8" w:rsidP="00196310">
      <w:pPr>
        <w:pStyle w:val="NormalWeb"/>
        <w:spacing w:line="480" w:lineRule="auto"/>
        <w:rPr>
          <w:rFonts w:eastAsiaTheme="minorHAnsi"/>
          <w:sz w:val="28"/>
          <w:szCs w:val="28"/>
        </w:rPr>
      </w:pPr>
      <w:r w:rsidRPr="00955023">
        <w:rPr>
          <w:rFonts w:eastAsiaTheme="minorHAnsi"/>
          <w:i/>
          <w:iCs/>
          <w:sz w:val="28"/>
          <w:szCs w:val="28"/>
        </w:rPr>
        <w:t>Insurance Corp. of Ireland v. Compagnie des Bauxites de Guinee</w:t>
      </w:r>
      <w:r w:rsidRPr="00955023">
        <w:rPr>
          <w:rFonts w:eastAsiaTheme="minorHAnsi"/>
          <w:sz w:val="28"/>
          <w:szCs w:val="28"/>
        </w:rPr>
        <w:t>, 456 U.S. 694 (1982) at 702.</w:t>
      </w:r>
    </w:p>
    <w:p w14:paraId="21C63FFB" w14:textId="77777777" w:rsidR="00093053" w:rsidRDefault="00093053" w:rsidP="00196310">
      <w:pPr>
        <w:pStyle w:val="NormalWeb"/>
        <w:spacing w:line="480" w:lineRule="auto"/>
        <w:rPr>
          <w:rFonts w:eastAsiaTheme="minorHAnsi"/>
          <w:sz w:val="28"/>
          <w:szCs w:val="28"/>
        </w:rPr>
      </w:pPr>
    </w:p>
    <w:p w14:paraId="4D91542D" w14:textId="77777777" w:rsidR="00093053" w:rsidRPr="00955023" w:rsidRDefault="00093053" w:rsidP="00196310">
      <w:pPr>
        <w:pStyle w:val="NormalWeb"/>
        <w:spacing w:line="480" w:lineRule="auto"/>
        <w:rPr>
          <w:rFonts w:eastAsiaTheme="minorHAnsi"/>
          <w:sz w:val="28"/>
          <w:szCs w:val="28"/>
        </w:rPr>
      </w:pPr>
    </w:p>
    <w:p w14:paraId="25B2EBC8" w14:textId="6380FAF8" w:rsidR="001853E9" w:rsidRPr="00196310" w:rsidRDefault="001853E9" w:rsidP="00196310">
      <w:pPr>
        <w:pStyle w:val="NormalWeb"/>
        <w:spacing w:line="480" w:lineRule="auto"/>
        <w:rPr>
          <w:rFonts w:eastAsiaTheme="minorHAnsi"/>
          <w:sz w:val="28"/>
          <w:szCs w:val="28"/>
        </w:rPr>
      </w:pPr>
    </w:p>
    <w:p w14:paraId="014F9F8E" w14:textId="73045FA9" w:rsidR="00444506" w:rsidRPr="00955023" w:rsidRDefault="002E4E3E" w:rsidP="00196310">
      <w:pPr>
        <w:pStyle w:val="NormalWeb"/>
        <w:spacing w:line="480" w:lineRule="auto"/>
        <w:ind w:firstLine="720"/>
        <w:jc w:val="center"/>
        <w:rPr>
          <w:sz w:val="28"/>
          <w:szCs w:val="28"/>
          <w:bdr w:val="none" w:sz="0" w:space="0" w:color="auto" w:frame="1"/>
        </w:rPr>
      </w:pPr>
      <w:r>
        <w:rPr>
          <w:b/>
          <w:sz w:val="28"/>
          <w:szCs w:val="28"/>
          <w:u w:val="single"/>
          <w:bdr w:val="none" w:sz="0" w:space="0" w:color="auto" w:frame="1"/>
        </w:rPr>
        <w:t>L</w:t>
      </w:r>
      <w:r w:rsidR="00834563" w:rsidRPr="00955023">
        <w:rPr>
          <w:b/>
          <w:sz w:val="28"/>
          <w:szCs w:val="28"/>
          <w:u w:val="single"/>
          <w:bdr w:val="none" w:sz="0" w:space="0" w:color="auto" w:frame="1"/>
        </w:rPr>
        <w:t>egal presumption of lack of subject-matter jurisdiction</w:t>
      </w:r>
      <w:r w:rsidR="001853E9" w:rsidRPr="00955023">
        <w:rPr>
          <w:sz w:val="28"/>
          <w:szCs w:val="28"/>
          <w:bdr w:val="none" w:sz="0" w:space="0" w:color="auto" w:frame="1"/>
        </w:rPr>
        <w:t>.</w:t>
      </w:r>
    </w:p>
    <w:p w14:paraId="7E694949" w14:textId="5ED78B69" w:rsidR="00260E94" w:rsidRPr="00955023" w:rsidRDefault="00314B87" w:rsidP="00196310">
      <w:pPr>
        <w:pStyle w:val="NormalWeb"/>
        <w:spacing w:line="480" w:lineRule="auto"/>
        <w:rPr>
          <w:sz w:val="28"/>
          <w:szCs w:val="28"/>
          <w:bdr w:val="none" w:sz="0" w:space="0" w:color="auto" w:frame="1"/>
        </w:rPr>
      </w:pPr>
      <w:r w:rsidRPr="00955023">
        <w:rPr>
          <w:sz w:val="28"/>
          <w:szCs w:val="28"/>
          <w:bdr w:val="none" w:sz="0" w:space="0" w:color="auto" w:frame="1"/>
        </w:rPr>
        <w:t xml:space="preserve">An Immigration Court is a </w:t>
      </w:r>
      <w:r w:rsidRPr="00955023">
        <w:rPr>
          <w:i/>
          <w:sz w:val="28"/>
          <w:szCs w:val="28"/>
          <w:bdr w:val="none" w:sz="0" w:space="0" w:color="auto" w:frame="1"/>
        </w:rPr>
        <w:t>federal</w:t>
      </w:r>
      <w:r w:rsidRPr="00955023">
        <w:rPr>
          <w:sz w:val="28"/>
          <w:szCs w:val="28"/>
          <w:bdr w:val="none" w:sz="0" w:space="0" w:color="auto" w:frame="1"/>
        </w:rPr>
        <w:t xml:space="preserve"> </w:t>
      </w:r>
      <w:r w:rsidR="00D426A4" w:rsidRPr="00955023">
        <w:rPr>
          <w:sz w:val="28"/>
          <w:szCs w:val="28"/>
          <w:bdr w:val="none" w:sz="0" w:space="0" w:color="auto" w:frame="1"/>
        </w:rPr>
        <w:t>administrative</w:t>
      </w:r>
      <w:r w:rsidR="008803BA" w:rsidRPr="00955023">
        <w:rPr>
          <w:sz w:val="28"/>
          <w:szCs w:val="28"/>
          <w:bdr w:val="none" w:sz="0" w:space="0" w:color="auto" w:frame="1"/>
        </w:rPr>
        <w:t xml:space="preserve"> court, therefore, all and any rules relating to federal subject-matter jurisdiction apply to an Immigration Court. In short, subject-matter jurisdiction of an Immigration Court is limited, </w:t>
      </w:r>
      <w:r w:rsidR="00751F3E" w:rsidRPr="00955023">
        <w:rPr>
          <w:sz w:val="28"/>
          <w:szCs w:val="28"/>
          <w:bdr w:val="none" w:sz="0" w:space="0" w:color="auto" w:frame="1"/>
        </w:rPr>
        <w:t xml:space="preserve">and </w:t>
      </w:r>
      <w:r w:rsidR="008803BA" w:rsidRPr="00955023">
        <w:rPr>
          <w:sz w:val="28"/>
          <w:szCs w:val="28"/>
          <w:bdr w:val="none" w:sz="0" w:space="0" w:color="auto" w:frame="1"/>
        </w:rPr>
        <w:t>there is a legal presumption that subject-matter does not exist</w:t>
      </w:r>
      <w:r w:rsidR="00751F3E" w:rsidRPr="00955023">
        <w:rPr>
          <w:sz w:val="28"/>
          <w:szCs w:val="28"/>
          <w:bdr w:val="none" w:sz="0" w:space="0" w:color="auto" w:frame="1"/>
        </w:rPr>
        <w:t xml:space="preserve">. </w:t>
      </w:r>
    </w:p>
    <w:p w14:paraId="7080692E" w14:textId="77777777" w:rsidR="00260E94" w:rsidRPr="00955023" w:rsidRDefault="00260E94" w:rsidP="00196310">
      <w:pPr>
        <w:pStyle w:val="NormalWeb"/>
        <w:spacing w:line="480" w:lineRule="auto"/>
        <w:rPr>
          <w:sz w:val="28"/>
          <w:szCs w:val="28"/>
          <w:bdr w:val="none" w:sz="0" w:space="0" w:color="auto" w:frame="1"/>
        </w:rPr>
      </w:pPr>
    </w:p>
    <w:p w14:paraId="3F2DE49B" w14:textId="282D64CA" w:rsidR="00B812E8" w:rsidRPr="00955023" w:rsidRDefault="00D426A4" w:rsidP="00196310">
      <w:pPr>
        <w:pStyle w:val="NormalWeb"/>
        <w:spacing w:line="480" w:lineRule="auto"/>
        <w:rPr>
          <w:rFonts w:eastAsiaTheme="minorHAnsi"/>
          <w:sz w:val="28"/>
          <w:szCs w:val="28"/>
        </w:rPr>
      </w:pPr>
      <w:r w:rsidRPr="00955023">
        <w:rPr>
          <w:sz w:val="28"/>
          <w:szCs w:val="28"/>
          <w:bdr w:val="none" w:sz="0" w:space="0" w:color="auto" w:frame="1"/>
        </w:rPr>
        <w:t>All federal courts have limited jurisdiction.</w:t>
      </w:r>
      <w:r w:rsidR="00B812E8" w:rsidRPr="00955023">
        <w:rPr>
          <w:sz w:val="28"/>
          <w:szCs w:val="28"/>
          <w:bdr w:val="none" w:sz="0" w:space="0" w:color="auto" w:frame="1"/>
        </w:rPr>
        <w:t xml:space="preserve"> </w:t>
      </w:r>
      <w:r w:rsidR="00B812E8" w:rsidRPr="00955023">
        <w:rPr>
          <w:rFonts w:eastAsiaTheme="minorHAnsi"/>
          <w:i/>
          <w:iCs/>
          <w:sz w:val="28"/>
          <w:szCs w:val="28"/>
        </w:rPr>
        <w:t>Kokkonen v. Guardian Life Ins. Co. of Am.</w:t>
      </w:r>
      <w:r w:rsidR="00B812E8" w:rsidRPr="00955023">
        <w:rPr>
          <w:rFonts w:eastAsiaTheme="minorHAnsi"/>
          <w:sz w:val="28"/>
          <w:szCs w:val="28"/>
        </w:rPr>
        <w:t xml:space="preserve">, 511 U.S. 375, 377 (1994)) (“Federal courts are courts of limited jurisdiction . . . .”), </w:t>
      </w:r>
      <w:r w:rsidR="00B812E8" w:rsidRPr="00955023">
        <w:rPr>
          <w:rFonts w:eastAsiaTheme="minorHAnsi"/>
          <w:i/>
          <w:sz w:val="28"/>
          <w:szCs w:val="28"/>
        </w:rPr>
        <w:t>see also</w:t>
      </w:r>
      <w:r w:rsidR="00B812E8" w:rsidRPr="00955023">
        <w:rPr>
          <w:rFonts w:eastAsiaTheme="minorHAnsi"/>
          <w:sz w:val="28"/>
          <w:szCs w:val="28"/>
        </w:rPr>
        <w:t xml:space="preserve"> </w:t>
      </w:r>
      <w:r w:rsidR="00B812E8" w:rsidRPr="00955023">
        <w:rPr>
          <w:rFonts w:eastAsiaTheme="minorHAnsi"/>
          <w:i/>
          <w:iCs/>
          <w:sz w:val="28"/>
          <w:szCs w:val="28"/>
        </w:rPr>
        <w:t>Lowdermilk v. United States Bank Nat’l Assoc.</w:t>
      </w:r>
      <w:r w:rsidR="00B812E8" w:rsidRPr="00955023">
        <w:rPr>
          <w:rFonts w:eastAsiaTheme="minorHAnsi"/>
          <w:sz w:val="28"/>
          <w:szCs w:val="28"/>
        </w:rPr>
        <w:t xml:space="preserve">, 479 F.3d 994, 998 (9th Cir. 2007) (“[A]s federal courts, we are courts of limited jurisdiction and we will strictly construe our jurisdiction.”). </w:t>
      </w:r>
    </w:p>
    <w:p w14:paraId="2494139C" w14:textId="09D6DA6C" w:rsidR="00BF6B06" w:rsidRPr="00955023" w:rsidRDefault="008803BA" w:rsidP="00196310">
      <w:pPr>
        <w:spacing w:before="100" w:beforeAutospacing="1" w:after="100" w:afterAutospacing="1" w:line="480" w:lineRule="auto"/>
        <w:rPr>
          <w:sz w:val="28"/>
          <w:szCs w:val="28"/>
        </w:rPr>
      </w:pPr>
      <w:r w:rsidRPr="00D426A4">
        <w:rPr>
          <w:color w:val="C00000"/>
          <w:sz w:val="28"/>
          <w:szCs w:val="28"/>
        </w:rPr>
        <w:t xml:space="preserve">“It is to be presumed that a cause lies outside [of federal courts’] limited jurisdiction, and the burden of establishing the contrary rests upon the party asserting jurisdiction.” </w:t>
      </w:r>
      <w:r w:rsidRPr="00D426A4">
        <w:rPr>
          <w:i/>
          <w:iCs/>
          <w:color w:val="C00000"/>
          <w:sz w:val="28"/>
          <w:szCs w:val="28"/>
        </w:rPr>
        <w:t>Kokkonen v. Guardian Life Ins. Co. of Am.</w:t>
      </w:r>
      <w:r w:rsidRPr="00D426A4">
        <w:rPr>
          <w:color w:val="C00000"/>
          <w:sz w:val="28"/>
          <w:szCs w:val="28"/>
        </w:rPr>
        <w:t>, 511 U.S. 375, 377 (1994) (citations omitted)</w:t>
      </w:r>
      <w:r w:rsidRPr="00D426A4">
        <w:rPr>
          <w:sz w:val="28"/>
          <w:szCs w:val="28"/>
        </w:rPr>
        <w:t xml:space="preserve">. </w:t>
      </w:r>
    </w:p>
    <w:p w14:paraId="0D60A516" w14:textId="2B489AB5" w:rsidR="00BF6B06" w:rsidRPr="00955023" w:rsidRDefault="00BF6B06" w:rsidP="00196310">
      <w:pPr>
        <w:pStyle w:val="NormalWeb"/>
        <w:spacing w:line="480" w:lineRule="auto"/>
        <w:rPr>
          <w:sz w:val="28"/>
          <w:szCs w:val="28"/>
          <w:bdr w:val="none" w:sz="0" w:space="0" w:color="auto" w:frame="1"/>
        </w:rPr>
      </w:pPr>
      <w:r w:rsidRPr="00955023">
        <w:rPr>
          <w:sz w:val="28"/>
          <w:szCs w:val="28"/>
          <w:bdr w:val="none" w:sz="0" w:space="0" w:color="auto" w:frame="1"/>
        </w:rPr>
        <w:t xml:space="preserve">In </w:t>
      </w:r>
      <w:r w:rsidRPr="00955023">
        <w:rPr>
          <w:sz w:val="28"/>
          <w:szCs w:val="28"/>
          <w:bdr w:val="none" w:sz="0" w:space="0" w:color="auto" w:frame="1"/>
        </w:rPr>
        <w:t>summary</w:t>
      </w:r>
      <w:r w:rsidRPr="00955023">
        <w:rPr>
          <w:sz w:val="28"/>
          <w:szCs w:val="28"/>
          <w:bdr w:val="none" w:sz="0" w:space="0" w:color="auto" w:frame="1"/>
        </w:rPr>
        <w:t>, subject-matter jurisdiction of an Immigration Court is limited</w:t>
      </w:r>
      <w:r w:rsidRPr="00955023">
        <w:rPr>
          <w:sz w:val="28"/>
          <w:szCs w:val="28"/>
          <w:bdr w:val="none" w:sz="0" w:space="0" w:color="auto" w:frame="1"/>
        </w:rPr>
        <w:t xml:space="preserve"> to what Congress conferred upon it by a statute</w:t>
      </w:r>
      <w:r w:rsidRPr="00955023">
        <w:rPr>
          <w:sz w:val="28"/>
          <w:szCs w:val="28"/>
          <w:bdr w:val="none" w:sz="0" w:space="0" w:color="auto" w:frame="1"/>
        </w:rPr>
        <w:t xml:space="preserve">, and there is a legal presumption that subject-matter does not exist. </w:t>
      </w:r>
      <w:r w:rsidR="00B25484" w:rsidRPr="00955023">
        <w:rPr>
          <w:sz w:val="28"/>
          <w:szCs w:val="28"/>
          <w:bdr w:val="none" w:sz="0" w:space="0" w:color="auto" w:frame="1"/>
        </w:rPr>
        <w:t>If government fails to prove that a particular statute conferred subject-matter jurisdiction onto this Court to hold removal proceedings against Respondent, under presumption this Court lacks subject-matter jurisdiction.</w:t>
      </w:r>
      <w:r w:rsidR="00B25484" w:rsidRPr="00955023">
        <w:rPr>
          <w:sz w:val="28"/>
          <w:szCs w:val="28"/>
          <w:bdr w:val="none" w:sz="0" w:space="0" w:color="auto" w:frame="1"/>
        </w:rPr>
        <w:t xml:space="preserve"> </w:t>
      </w:r>
      <w:r w:rsidRPr="00955023">
        <w:rPr>
          <w:sz w:val="28"/>
          <w:szCs w:val="28"/>
          <w:bdr w:val="none" w:sz="0" w:space="0" w:color="auto" w:frame="1"/>
        </w:rPr>
        <w:t xml:space="preserve">This Court </w:t>
      </w:r>
      <w:r w:rsidR="00184D98" w:rsidRPr="00955023">
        <w:rPr>
          <w:sz w:val="28"/>
          <w:szCs w:val="28"/>
          <w:bdr w:val="none" w:sz="0" w:space="0" w:color="auto" w:frame="1"/>
        </w:rPr>
        <w:t xml:space="preserve">would </w:t>
      </w:r>
      <w:r w:rsidR="00B25484" w:rsidRPr="00955023">
        <w:rPr>
          <w:sz w:val="28"/>
          <w:szCs w:val="28"/>
          <w:bdr w:val="none" w:sz="0" w:space="0" w:color="auto" w:frame="1"/>
        </w:rPr>
        <w:t>steer away from usurping jurisdiction</w:t>
      </w:r>
      <w:r w:rsidRPr="00955023">
        <w:rPr>
          <w:sz w:val="28"/>
          <w:szCs w:val="28"/>
          <w:bdr w:val="none" w:sz="0" w:space="0" w:color="auto" w:frame="1"/>
        </w:rPr>
        <w:t xml:space="preserve"> if in absence of government pointing to the statute vesting subject-matter jurisdiction to hold removal proceedings against Respondent relies on the legal presumption that the Court has no subject-matter jurisdiction to do so</w:t>
      </w:r>
      <w:r w:rsidR="00184D98" w:rsidRPr="00955023">
        <w:rPr>
          <w:sz w:val="28"/>
          <w:szCs w:val="28"/>
          <w:bdr w:val="none" w:sz="0" w:space="0" w:color="auto" w:frame="1"/>
        </w:rPr>
        <w:t xml:space="preserve">. </w:t>
      </w:r>
    </w:p>
    <w:p w14:paraId="4B56FF65" w14:textId="77777777" w:rsidR="00BC3B3D" w:rsidRPr="00955023" w:rsidRDefault="00BC3B3D" w:rsidP="00196310">
      <w:pPr>
        <w:spacing w:before="100" w:beforeAutospacing="1" w:after="100" w:afterAutospacing="1" w:line="480" w:lineRule="auto"/>
        <w:rPr>
          <w:sz w:val="28"/>
          <w:szCs w:val="28"/>
        </w:rPr>
      </w:pPr>
    </w:p>
    <w:p w14:paraId="63909EB4" w14:textId="0A46D717" w:rsidR="00BC3B3D" w:rsidRPr="00955023" w:rsidRDefault="00BC3B3D" w:rsidP="00196310">
      <w:pPr>
        <w:spacing w:before="100" w:beforeAutospacing="1" w:after="100" w:afterAutospacing="1" w:line="480" w:lineRule="auto"/>
        <w:jc w:val="center"/>
        <w:rPr>
          <w:b/>
          <w:sz w:val="28"/>
          <w:szCs w:val="28"/>
          <w:u w:val="single"/>
        </w:rPr>
      </w:pPr>
      <w:r w:rsidRPr="00955023">
        <w:rPr>
          <w:b/>
          <w:sz w:val="28"/>
          <w:szCs w:val="28"/>
          <w:u w:val="single"/>
        </w:rPr>
        <w:t>Source</w:t>
      </w:r>
      <w:r w:rsidR="00751F3E" w:rsidRPr="00955023">
        <w:rPr>
          <w:b/>
          <w:sz w:val="28"/>
          <w:szCs w:val="28"/>
          <w:u w:val="single"/>
        </w:rPr>
        <w:t xml:space="preserve"> of subject-</w:t>
      </w:r>
      <w:r w:rsidRPr="00955023">
        <w:rPr>
          <w:b/>
          <w:sz w:val="28"/>
          <w:szCs w:val="28"/>
          <w:u w:val="single"/>
        </w:rPr>
        <w:t>matter jurisdiction of an Immigration Court</w:t>
      </w:r>
      <w:r w:rsidR="00F715B5" w:rsidRPr="00955023">
        <w:rPr>
          <w:b/>
          <w:sz w:val="28"/>
          <w:szCs w:val="28"/>
          <w:u w:val="single"/>
        </w:rPr>
        <w:t xml:space="preserve"> </w:t>
      </w:r>
      <w:r w:rsidR="00F715B5" w:rsidRPr="00955023">
        <w:rPr>
          <w:b/>
          <w:sz w:val="28"/>
          <w:szCs w:val="28"/>
          <w:u w:val="single"/>
          <w:bdr w:val="none" w:sz="0" w:space="0" w:color="auto" w:frame="1"/>
        </w:rPr>
        <w:t>to hold removal proceedings against Respondent</w:t>
      </w:r>
      <w:r w:rsidR="00F715B5" w:rsidRPr="00955023">
        <w:rPr>
          <w:sz w:val="28"/>
          <w:szCs w:val="28"/>
          <w:bdr w:val="none" w:sz="0" w:space="0" w:color="auto" w:frame="1"/>
        </w:rPr>
        <w:t>.</w:t>
      </w:r>
    </w:p>
    <w:p w14:paraId="17E39CD0" w14:textId="34E0BED9" w:rsidR="00751F3E" w:rsidRPr="00955023" w:rsidRDefault="00064E46" w:rsidP="00196310">
      <w:pPr>
        <w:pStyle w:val="NormalWeb"/>
        <w:spacing w:line="480" w:lineRule="auto"/>
        <w:rPr>
          <w:rFonts w:eastAsiaTheme="minorHAnsi"/>
          <w:sz w:val="28"/>
          <w:szCs w:val="28"/>
        </w:rPr>
      </w:pPr>
      <w:r w:rsidRPr="00955023">
        <w:rPr>
          <w:rFonts w:eastAsiaTheme="minorHAnsi"/>
          <w:sz w:val="28"/>
          <w:szCs w:val="28"/>
        </w:rPr>
        <w:t xml:space="preserve">Only one </w:t>
      </w:r>
      <w:r w:rsidR="00751F3E" w:rsidRPr="00955023">
        <w:rPr>
          <w:rFonts w:eastAsiaTheme="minorHAnsi"/>
          <w:sz w:val="28"/>
          <w:szCs w:val="28"/>
        </w:rPr>
        <w:t xml:space="preserve">federal </w:t>
      </w:r>
      <w:r w:rsidRPr="00955023">
        <w:rPr>
          <w:rFonts w:eastAsiaTheme="minorHAnsi"/>
          <w:sz w:val="28"/>
          <w:szCs w:val="28"/>
        </w:rPr>
        <w:t xml:space="preserve">court gets its </w:t>
      </w:r>
      <w:r w:rsidR="00751F3E" w:rsidRPr="00955023">
        <w:rPr>
          <w:rFonts w:eastAsiaTheme="minorHAnsi"/>
          <w:sz w:val="28"/>
          <w:szCs w:val="28"/>
        </w:rPr>
        <w:t xml:space="preserve">subject-matter </w:t>
      </w:r>
      <w:r w:rsidRPr="00955023">
        <w:rPr>
          <w:rFonts w:eastAsiaTheme="minorHAnsi"/>
          <w:sz w:val="28"/>
          <w:szCs w:val="28"/>
        </w:rPr>
        <w:t xml:space="preserve">jurisdiction directly from the U.S. Constitution, that is the Supreme Court. </w:t>
      </w:r>
      <w:r w:rsidR="00751F3E" w:rsidRPr="00955023">
        <w:rPr>
          <w:rFonts w:eastAsiaTheme="minorHAnsi"/>
          <w:i/>
          <w:sz w:val="28"/>
          <w:szCs w:val="28"/>
        </w:rPr>
        <w:t>See</w:t>
      </w:r>
      <w:r w:rsidR="00751F3E" w:rsidRPr="00955023">
        <w:rPr>
          <w:rFonts w:eastAsiaTheme="minorHAnsi"/>
          <w:sz w:val="28"/>
          <w:szCs w:val="28"/>
        </w:rPr>
        <w:t xml:space="preserve"> </w:t>
      </w:r>
      <w:r w:rsidR="00184D98" w:rsidRPr="00955023">
        <w:rPr>
          <w:rFonts w:eastAsiaTheme="minorHAnsi"/>
          <w:sz w:val="28"/>
          <w:szCs w:val="28"/>
        </w:rPr>
        <w:t>Const., Art</w:t>
      </w:r>
      <w:r w:rsidR="00751F3E" w:rsidRPr="00955023">
        <w:rPr>
          <w:rFonts w:eastAsiaTheme="minorHAnsi"/>
          <w:sz w:val="28"/>
          <w:szCs w:val="28"/>
        </w:rPr>
        <w:t xml:space="preserve">. 3. </w:t>
      </w:r>
      <w:r w:rsidRPr="00955023">
        <w:rPr>
          <w:rFonts w:eastAsiaTheme="minorHAnsi"/>
          <w:sz w:val="28"/>
          <w:szCs w:val="28"/>
        </w:rPr>
        <w:t xml:space="preserve">All other federal courts get </w:t>
      </w:r>
      <w:r w:rsidR="00751F3E" w:rsidRPr="00955023">
        <w:rPr>
          <w:rFonts w:eastAsiaTheme="minorHAnsi"/>
          <w:sz w:val="28"/>
          <w:szCs w:val="28"/>
        </w:rPr>
        <w:t xml:space="preserve">their subject-matter jurisdictions </w:t>
      </w:r>
      <w:r w:rsidRPr="00955023">
        <w:rPr>
          <w:rFonts w:eastAsiaTheme="minorHAnsi"/>
          <w:sz w:val="28"/>
          <w:szCs w:val="28"/>
        </w:rPr>
        <w:t xml:space="preserve">from Congress via a statute. The Constitution “authorizes Congress . . . to determine the scope of federal courts’ jurisdiction within constitutional limits.” </w:t>
      </w:r>
      <w:r w:rsidRPr="00955023">
        <w:rPr>
          <w:rFonts w:eastAsiaTheme="minorHAnsi"/>
          <w:i/>
          <w:iCs/>
          <w:sz w:val="28"/>
          <w:szCs w:val="28"/>
        </w:rPr>
        <w:t>Hertz Corp. v. Friend</w:t>
      </w:r>
      <w:r w:rsidRPr="00955023">
        <w:rPr>
          <w:rFonts w:eastAsiaTheme="minorHAnsi"/>
          <w:sz w:val="28"/>
          <w:szCs w:val="28"/>
        </w:rPr>
        <w:t>, 130 S. Ct. 1181 (2010)</w:t>
      </w:r>
      <w:r w:rsidR="00751F3E" w:rsidRPr="00955023">
        <w:rPr>
          <w:rFonts w:eastAsiaTheme="minorHAnsi"/>
          <w:sz w:val="28"/>
          <w:szCs w:val="28"/>
        </w:rPr>
        <w:t>.</w:t>
      </w:r>
    </w:p>
    <w:p w14:paraId="2EE55A31" w14:textId="77777777" w:rsidR="00751F3E" w:rsidRPr="00955023" w:rsidRDefault="00751F3E" w:rsidP="00196310">
      <w:pPr>
        <w:pStyle w:val="NormalWeb"/>
        <w:spacing w:line="480" w:lineRule="auto"/>
        <w:rPr>
          <w:rFonts w:eastAsiaTheme="minorHAnsi"/>
          <w:sz w:val="28"/>
          <w:szCs w:val="28"/>
        </w:rPr>
      </w:pPr>
    </w:p>
    <w:p w14:paraId="1C283EBC" w14:textId="7C09273E" w:rsidR="00064E46" w:rsidRPr="00955023" w:rsidRDefault="00751F3E" w:rsidP="00196310">
      <w:pPr>
        <w:pStyle w:val="NormalWeb"/>
        <w:spacing w:line="480" w:lineRule="auto"/>
        <w:rPr>
          <w:rFonts w:eastAsiaTheme="minorHAnsi"/>
          <w:sz w:val="28"/>
          <w:szCs w:val="28"/>
        </w:rPr>
      </w:pPr>
      <w:r w:rsidRPr="00955023">
        <w:rPr>
          <w:rFonts w:eastAsiaTheme="minorHAnsi"/>
          <w:sz w:val="28"/>
          <w:szCs w:val="28"/>
        </w:rPr>
        <w:t xml:space="preserve">An Immigration Court gets a subject-matter jurisdiction </w:t>
      </w:r>
      <w:r w:rsidR="00F715B5" w:rsidRPr="00955023">
        <w:rPr>
          <w:rFonts w:eastAsiaTheme="minorHAnsi"/>
          <w:sz w:val="28"/>
          <w:szCs w:val="28"/>
        </w:rPr>
        <w:t xml:space="preserve">to hold removal proceedings against a foreign national </w:t>
      </w:r>
      <w:r w:rsidRPr="00955023">
        <w:rPr>
          <w:rFonts w:eastAsiaTheme="minorHAnsi"/>
          <w:sz w:val="28"/>
          <w:szCs w:val="28"/>
        </w:rPr>
        <w:t>from the statute 8 USC §1229(a)(1)</w:t>
      </w:r>
      <w:r w:rsidR="00F715B5" w:rsidRPr="00955023">
        <w:rPr>
          <w:rFonts w:eastAsiaTheme="minorHAnsi"/>
          <w:sz w:val="28"/>
          <w:szCs w:val="28"/>
        </w:rPr>
        <w:t>, when government serves on the targeted foreign national a Notice to Appear. In the recent precedent, the Supreme Court determined that a Notice to Appear is a single document compliant with a statutory defini</w:t>
      </w:r>
      <w:r w:rsidR="000A7CA0" w:rsidRPr="00955023">
        <w:rPr>
          <w:rFonts w:eastAsiaTheme="minorHAnsi"/>
          <w:sz w:val="28"/>
          <w:szCs w:val="28"/>
        </w:rPr>
        <w:t xml:space="preserve">tion given in 8 USC §1229(a)(1). </w:t>
      </w:r>
      <w:r w:rsidR="002A5D9B" w:rsidRPr="00955023">
        <w:rPr>
          <w:i/>
          <w:sz w:val="28"/>
          <w:szCs w:val="28"/>
        </w:rPr>
        <w:t>Niz-Chavez v Garland</w:t>
      </w:r>
      <w:r w:rsidR="002A5D9B" w:rsidRPr="00955023">
        <w:rPr>
          <w:sz w:val="28"/>
          <w:szCs w:val="28"/>
        </w:rPr>
        <w:t>, 593 U.S. ___ (2021)</w:t>
      </w:r>
      <w:r w:rsidR="002A5D9B">
        <w:rPr>
          <w:sz w:val="28"/>
          <w:szCs w:val="28"/>
        </w:rPr>
        <w:t>.</w:t>
      </w:r>
    </w:p>
    <w:p w14:paraId="3026D3C5" w14:textId="5C9709C7" w:rsidR="00064E46" w:rsidRPr="00955023" w:rsidRDefault="00064E46" w:rsidP="00196310">
      <w:pPr>
        <w:pStyle w:val="NormalWeb"/>
        <w:spacing w:line="480" w:lineRule="auto"/>
        <w:rPr>
          <w:rFonts w:eastAsiaTheme="minorHAnsi"/>
          <w:sz w:val="28"/>
          <w:szCs w:val="28"/>
        </w:rPr>
      </w:pPr>
    </w:p>
    <w:p w14:paraId="2626EE05" w14:textId="02ACA082" w:rsidR="009411F6" w:rsidRPr="00955023" w:rsidRDefault="009411F6" w:rsidP="00196310">
      <w:pPr>
        <w:pStyle w:val="NormalWeb"/>
        <w:spacing w:line="480" w:lineRule="auto"/>
        <w:rPr>
          <w:rFonts w:eastAsiaTheme="minorHAnsi"/>
          <w:sz w:val="28"/>
          <w:szCs w:val="28"/>
        </w:rPr>
      </w:pPr>
      <w:r w:rsidRPr="00955023">
        <w:rPr>
          <w:rFonts w:eastAsiaTheme="minorHAnsi"/>
          <w:sz w:val="28"/>
          <w:szCs w:val="28"/>
        </w:rPr>
        <w:t xml:space="preserve">Prior to </w:t>
      </w:r>
      <w:r w:rsidRPr="00955023">
        <w:rPr>
          <w:i/>
          <w:sz w:val="28"/>
          <w:szCs w:val="28"/>
        </w:rPr>
        <w:t>Niz-Chavez v Garland</w:t>
      </w:r>
      <w:r w:rsidRPr="00955023">
        <w:rPr>
          <w:sz w:val="28"/>
          <w:szCs w:val="28"/>
        </w:rPr>
        <w:t>, 593 U.S. ___ (2021)</w:t>
      </w:r>
      <w:r w:rsidRPr="00955023">
        <w:rPr>
          <w:sz w:val="28"/>
          <w:szCs w:val="28"/>
        </w:rPr>
        <w:t xml:space="preserve"> the government has settled in its preferred practice of serving a notice of proceedings in more than one document.</w:t>
      </w:r>
      <w:r w:rsidRPr="00955023">
        <w:rPr>
          <w:rFonts w:eastAsiaTheme="minorHAnsi"/>
          <w:sz w:val="28"/>
          <w:szCs w:val="28"/>
        </w:rPr>
        <w:t xml:space="preserve">  </w:t>
      </w:r>
      <w:r w:rsidRPr="00955023">
        <w:rPr>
          <w:sz w:val="28"/>
          <w:szCs w:val="28"/>
        </w:rPr>
        <w:t>The fresh Supreme Court precedent</w:t>
      </w:r>
      <w:r w:rsidRPr="00955023">
        <w:rPr>
          <w:i/>
          <w:sz w:val="28"/>
          <w:szCs w:val="28"/>
        </w:rPr>
        <w:t xml:space="preserve"> Niz-Chavez v Garland</w:t>
      </w:r>
      <w:r w:rsidRPr="00955023">
        <w:rPr>
          <w:sz w:val="28"/>
          <w:szCs w:val="28"/>
        </w:rPr>
        <w:t xml:space="preserve">, 593 U.S. ___ (2021) abrogated the government’s preferred practice of the so-called two-step service of a notice of removal proceedings on a foreign national. </w:t>
      </w:r>
      <w:r w:rsidR="00231013" w:rsidRPr="00955023">
        <w:rPr>
          <w:sz w:val="28"/>
          <w:szCs w:val="28"/>
        </w:rPr>
        <w:t>(</w:t>
      </w:r>
      <w:r w:rsidR="00231013" w:rsidRPr="00955023">
        <w:rPr>
          <w:sz w:val="28"/>
          <w:szCs w:val="28"/>
        </w:rPr>
        <w:t xml:space="preserve">The government preferred practice is </w:t>
      </w:r>
      <w:r w:rsidR="00231013" w:rsidRPr="00955023">
        <w:rPr>
          <w:color w:val="333333"/>
          <w:spacing w:val="3"/>
          <w:sz w:val="28"/>
          <w:szCs w:val="28"/>
          <w:shd w:val="clear" w:color="auto" w:fill="FFFFFF"/>
        </w:rPr>
        <w:t xml:space="preserve">“to provide notice of removal proceedings to an alien using a two-step process: (1) sending a Notice to Appear in which the government states that the date and time of the hearing will be provided at a later time and (2) later sending notice of the hearing with the date and time of the hearing.” </w:t>
      </w:r>
      <w:r w:rsidR="00231013" w:rsidRPr="00955023">
        <w:rPr>
          <w:i/>
          <w:color w:val="333333"/>
          <w:spacing w:val="3"/>
          <w:sz w:val="28"/>
          <w:szCs w:val="28"/>
          <w:shd w:val="clear" w:color="auto" w:fill="FFFFFF"/>
        </w:rPr>
        <w:t>See</w:t>
      </w:r>
      <w:r w:rsidR="00231013" w:rsidRPr="00955023">
        <w:rPr>
          <w:color w:val="333333"/>
          <w:spacing w:val="3"/>
          <w:sz w:val="28"/>
          <w:szCs w:val="28"/>
          <w:shd w:val="clear" w:color="auto" w:fill="FFFFFF"/>
        </w:rPr>
        <w:t xml:space="preserve"> </w:t>
      </w:r>
      <w:r w:rsidR="00231013" w:rsidRPr="00955023">
        <w:rPr>
          <w:i/>
          <w:sz w:val="28"/>
          <w:szCs w:val="28"/>
        </w:rPr>
        <w:t>Popa v. Holder</w:t>
      </w:r>
      <w:r w:rsidR="00231013" w:rsidRPr="00955023">
        <w:rPr>
          <w:sz w:val="28"/>
          <w:szCs w:val="28"/>
        </w:rPr>
        <w:t>, 571 F.3d 890 (9</w:t>
      </w:r>
      <w:r w:rsidR="00231013" w:rsidRPr="00955023">
        <w:rPr>
          <w:sz w:val="28"/>
          <w:szCs w:val="28"/>
          <w:vertAlign w:val="superscript"/>
        </w:rPr>
        <w:t>th</w:t>
      </w:r>
      <w:r w:rsidR="00231013" w:rsidRPr="00955023">
        <w:rPr>
          <w:sz w:val="28"/>
          <w:szCs w:val="28"/>
        </w:rPr>
        <w:t xml:space="preserve"> Cir. 2009).</w:t>
      </w:r>
      <w:r w:rsidR="00231013" w:rsidRPr="00955023">
        <w:rPr>
          <w:sz w:val="28"/>
          <w:szCs w:val="28"/>
        </w:rPr>
        <w:t xml:space="preserve">) </w:t>
      </w:r>
      <w:r w:rsidRPr="00955023">
        <w:rPr>
          <w:sz w:val="28"/>
          <w:szCs w:val="28"/>
        </w:rPr>
        <w:t xml:space="preserve">The </w:t>
      </w:r>
      <w:r w:rsidRPr="00955023">
        <w:rPr>
          <w:i/>
          <w:sz w:val="28"/>
          <w:szCs w:val="28"/>
        </w:rPr>
        <w:t xml:space="preserve">Niz-Chavez </w:t>
      </w:r>
      <w:r w:rsidRPr="00955023">
        <w:rPr>
          <w:sz w:val="28"/>
          <w:szCs w:val="28"/>
        </w:rPr>
        <w:t xml:space="preserve">precedent resolved the legal issue which Supreme Court described as follows, </w:t>
      </w:r>
    </w:p>
    <w:p w14:paraId="3E8602FE" w14:textId="77777777" w:rsidR="009411F6" w:rsidRPr="00955023" w:rsidRDefault="009411F6" w:rsidP="00196310">
      <w:pPr>
        <w:spacing w:line="480" w:lineRule="auto"/>
        <w:ind w:left="720" w:firstLine="360"/>
        <w:rPr>
          <w:sz w:val="28"/>
          <w:szCs w:val="28"/>
        </w:rPr>
      </w:pPr>
      <w:r w:rsidRPr="00955023">
        <w:rPr>
          <w:sz w:val="28"/>
          <w:szCs w:val="28"/>
        </w:rPr>
        <w:t>“The question for us is whether the law Congress adopted tolerates the</w:t>
      </w:r>
    </w:p>
    <w:p w14:paraId="362DA78F" w14:textId="77777777" w:rsidR="009411F6" w:rsidRPr="00955023" w:rsidRDefault="009411F6" w:rsidP="00196310">
      <w:pPr>
        <w:spacing w:line="480" w:lineRule="auto"/>
        <w:ind w:left="720" w:firstLine="360"/>
        <w:rPr>
          <w:sz w:val="28"/>
          <w:szCs w:val="28"/>
        </w:rPr>
      </w:pPr>
      <w:r w:rsidRPr="00955023">
        <w:rPr>
          <w:sz w:val="28"/>
          <w:szCs w:val="28"/>
        </w:rPr>
        <w:t xml:space="preserve">  government’s preferred practice.” </w:t>
      </w:r>
    </w:p>
    <w:p w14:paraId="1081F843" w14:textId="77777777" w:rsidR="009411F6" w:rsidRPr="00955023" w:rsidRDefault="009411F6" w:rsidP="00196310">
      <w:pPr>
        <w:spacing w:line="480" w:lineRule="auto"/>
        <w:rPr>
          <w:sz w:val="28"/>
          <w:szCs w:val="28"/>
        </w:rPr>
      </w:pPr>
      <w:r w:rsidRPr="00955023">
        <w:rPr>
          <w:i/>
          <w:sz w:val="28"/>
          <w:szCs w:val="28"/>
        </w:rPr>
        <w:t>Niz-Chavez v Garland</w:t>
      </w:r>
      <w:r w:rsidRPr="00955023">
        <w:rPr>
          <w:sz w:val="28"/>
          <w:szCs w:val="28"/>
        </w:rPr>
        <w:t xml:space="preserve">, 593 U.S. ___ (2021) at 1.  The </w:t>
      </w:r>
      <w:r w:rsidRPr="00955023">
        <w:rPr>
          <w:i/>
          <w:sz w:val="28"/>
          <w:szCs w:val="28"/>
        </w:rPr>
        <w:t xml:space="preserve">Niz-Chavez </w:t>
      </w:r>
      <w:r w:rsidRPr="00955023">
        <w:rPr>
          <w:sz w:val="28"/>
          <w:szCs w:val="28"/>
        </w:rPr>
        <w:t xml:space="preserve">precedent construed the statute to </w:t>
      </w:r>
      <w:r w:rsidRPr="00955023">
        <w:rPr>
          <w:i/>
          <w:sz w:val="28"/>
          <w:szCs w:val="28"/>
        </w:rPr>
        <w:t>not</w:t>
      </w:r>
      <w:r w:rsidRPr="00955023">
        <w:rPr>
          <w:sz w:val="28"/>
          <w:szCs w:val="28"/>
        </w:rPr>
        <w:t xml:space="preserve"> tolerate the government’s preferred practice. </w:t>
      </w:r>
    </w:p>
    <w:p w14:paraId="651DD79D" w14:textId="77777777" w:rsidR="009411F6" w:rsidRPr="00955023" w:rsidRDefault="009411F6" w:rsidP="00196310">
      <w:pPr>
        <w:spacing w:line="480" w:lineRule="auto"/>
        <w:ind w:left="1440"/>
        <w:rPr>
          <w:sz w:val="28"/>
          <w:szCs w:val="28"/>
        </w:rPr>
      </w:pPr>
      <w:r w:rsidRPr="00955023">
        <w:rPr>
          <w:sz w:val="28"/>
          <w:szCs w:val="28"/>
        </w:rPr>
        <w:t xml:space="preserve"> “Our only job today is to give the law’s terms their ordinary meaning and, in that small way, ensure the federal government does not exceed its statutory license. Interpreting the phrase “a notice to appear” to require a single notice—rather than 2 or 20 documents—does just that.” </w:t>
      </w:r>
    </w:p>
    <w:p w14:paraId="44E5817E" w14:textId="77777777" w:rsidR="009411F6" w:rsidRPr="00955023" w:rsidRDefault="009411F6" w:rsidP="00196310">
      <w:pPr>
        <w:spacing w:line="480" w:lineRule="auto"/>
        <w:rPr>
          <w:sz w:val="28"/>
          <w:szCs w:val="28"/>
        </w:rPr>
      </w:pPr>
      <w:r w:rsidRPr="00955023">
        <w:rPr>
          <w:i/>
          <w:sz w:val="28"/>
          <w:szCs w:val="28"/>
        </w:rPr>
        <w:t>Niz-Chavez v Garland</w:t>
      </w:r>
      <w:r w:rsidRPr="00955023">
        <w:rPr>
          <w:sz w:val="28"/>
          <w:szCs w:val="28"/>
        </w:rPr>
        <w:t xml:space="preserve">, 593 U.S. ___ (2021) at 16. </w:t>
      </w:r>
      <w:r w:rsidRPr="00955023">
        <w:rPr>
          <w:i/>
          <w:sz w:val="28"/>
          <w:szCs w:val="28"/>
        </w:rPr>
        <w:t>Niz-Chavez</w:t>
      </w:r>
      <w:r w:rsidRPr="00955023">
        <w:rPr>
          <w:sz w:val="28"/>
          <w:szCs w:val="28"/>
        </w:rPr>
        <w:t xml:space="preserve"> forbids the two-step process and abrogates any regulation or precedent in favor of the two-step process as contrary to the statute. </w:t>
      </w:r>
    </w:p>
    <w:p w14:paraId="33A5A859" w14:textId="1FA0CBC5" w:rsidR="009411F6" w:rsidRPr="00955023" w:rsidRDefault="009411F6" w:rsidP="00196310">
      <w:pPr>
        <w:spacing w:line="480" w:lineRule="auto"/>
        <w:ind w:firstLine="360"/>
        <w:rPr>
          <w:sz w:val="28"/>
          <w:szCs w:val="28"/>
        </w:rPr>
      </w:pPr>
      <w:r w:rsidRPr="00955023">
        <w:rPr>
          <w:sz w:val="28"/>
          <w:szCs w:val="28"/>
        </w:rPr>
        <w:t>“… [O]ur point is that each case-initiating document must contain the catalogue of information Congress has said the defendant or respondent is entitled to receive in that document—and no one thinks this information may be provided by installment.</w:t>
      </w:r>
      <w:r w:rsidR="007319B9" w:rsidRPr="00955023">
        <w:rPr>
          <w:sz w:val="28"/>
          <w:szCs w:val="28"/>
        </w:rPr>
        <w:t xml:space="preserve">” </w:t>
      </w:r>
      <w:r w:rsidRPr="00955023">
        <w:rPr>
          <w:i/>
          <w:sz w:val="28"/>
          <w:szCs w:val="28"/>
        </w:rPr>
        <w:t>Niz-Chavez v Garland</w:t>
      </w:r>
      <w:r w:rsidRPr="00955023">
        <w:rPr>
          <w:sz w:val="28"/>
          <w:szCs w:val="28"/>
        </w:rPr>
        <w:t>, 593 U.S. ___ (2021)</w:t>
      </w:r>
      <w:r w:rsidRPr="00955023">
        <w:rPr>
          <w:i/>
          <w:sz w:val="28"/>
          <w:szCs w:val="28"/>
        </w:rPr>
        <w:t>,</w:t>
      </w:r>
      <w:r w:rsidRPr="00955023">
        <w:rPr>
          <w:sz w:val="28"/>
          <w:szCs w:val="28"/>
        </w:rPr>
        <w:t xml:space="preserve"> FN 2 at 8. </w:t>
      </w:r>
    </w:p>
    <w:p w14:paraId="0BFA8E04" w14:textId="77777777" w:rsidR="009411F6" w:rsidRPr="00955023" w:rsidRDefault="009411F6" w:rsidP="00196310">
      <w:pPr>
        <w:pStyle w:val="NormalWeb"/>
        <w:spacing w:line="480" w:lineRule="auto"/>
        <w:rPr>
          <w:rFonts w:eastAsiaTheme="minorHAnsi"/>
          <w:sz w:val="28"/>
          <w:szCs w:val="28"/>
        </w:rPr>
      </w:pPr>
    </w:p>
    <w:p w14:paraId="15E73337" w14:textId="25EF2984" w:rsidR="00D426A4" w:rsidRPr="00955023" w:rsidRDefault="009411F6" w:rsidP="00196310">
      <w:pPr>
        <w:pStyle w:val="NormalWeb"/>
        <w:spacing w:line="480" w:lineRule="auto"/>
        <w:rPr>
          <w:sz w:val="28"/>
          <w:szCs w:val="28"/>
          <w:bdr w:val="none" w:sz="0" w:space="0" w:color="auto" w:frame="1"/>
        </w:rPr>
      </w:pPr>
      <w:r w:rsidRPr="00955023">
        <w:rPr>
          <w:sz w:val="28"/>
          <w:szCs w:val="28"/>
          <w:bdr w:val="none" w:sz="0" w:space="0" w:color="auto" w:frame="1"/>
        </w:rPr>
        <w:t xml:space="preserve">In light of </w:t>
      </w:r>
      <w:r w:rsidRPr="00955023">
        <w:rPr>
          <w:i/>
          <w:sz w:val="28"/>
          <w:szCs w:val="28"/>
        </w:rPr>
        <w:t>Niz-Chavez</w:t>
      </w:r>
      <w:r w:rsidRPr="00955023">
        <w:rPr>
          <w:sz w:val="28"/>
          <w:szCs w:val="28"/>
          <w:bdr w:val="none" w:sz="0" w:space="0" w:color="auto" w:frame="1"/>
        </w:rPr>
        <w:t xml:space="preserve"> it is beyond contestation that one and only way to initiate removal proceedings is to serve on a foreign national the single document comporting with the definition of a Notice to Appear given in 8 USC §1229(a)(1). Such initiation of removal proceedings is an act of </w:t>
      </w:r>
      <w:r w:rsidR="00E37111" w:rsidRPr="00955023">
        <w:rPr>
          <w:sz w:val="28"/>
          <w:szCs w:val="28"/>
          <w:bdr w:val="none" w:sz="0" w:space="0" w:color="auto" w:frame="1"/>
        </w:rPr>
        <w:t>vesti</w:t>
      </w:r>
      <w:r w:rsidRPr="00955023">
        <w:rPr>
          <w:sz w:val="28"/>
          <w:szCs w:val="28"/>
          <w:bdr w:val="none" w:sz="0" w:space="0" w:color="auto" w:frame="1"/>
        </w:rPr>
        <w:t>n</w:t>
      </w:r>
      <w:r w:rsidR="00E37111" w:rsidRPr="00955023">
        <w:rPr>
          <w:sz w:val="28"/>
          <w:szCs w:val="28"/>
          <w:bdr w:val="none" w:sz="0" w:space="0" w:color="auto" w:frame="1"/>
        </w:rPr>
        <w:t>g</w:t>
      </w:r>
      <w:r w:rsidRPr="00955023">
        <w:rPr>
          <w:sz w:val="28"/>
          <w:szCs w:val="28"/>
          <w:bdr w:val="none" w:sz="0" w:space="0" w:color="auto" w:frame="1"/>
        </w:rPr>
        <w:t xml:space="preserve"> of subject-matter jurisdiction to hold removal proceedings against a foreign national that was served a Notice to Appear</w:t>
      </w:r>
      <w:r w:rsidR="00E37111" w:rsidRPr="00955023">
        <w:rPr>
          <w:sz w:val="28"/>
          <w:szCs w:val="28"/>
          <w:bdr w:val="none" w:sz="0" w:space="0" w:color="auto" w:frame="1"/>
        </w:rPr>
        <w:t xml:space="preserve"> compliant with 8 USC §1229(a)(1).</w:t>
      </w:r>
      <w:r w:rsidR="006311E8" w:rsidRPr="00955023">
        <w:rPr>
          <w:sz w:val="28"/>
          <w:szCs w:val="28"/>
          <w:bdr w:val="none" w:sz="0" w:space="0" w:color="auto" w:frame="1"/>
        </w:rPr>
        <w:t xml:space="preserve"> There is no other statute other than 8 USC §1229(a)(1) that relates to initiation of removal proceedings, hence, either this statute confers subject-matter jurisdiction to conduct removal proceedings, or none at all. </w:t>
      </w:r>
    </w:p>
    <w:p w14:paraId="7D0179EF" w14:textId="77777777" w:rsidR="00D426A4" w:rsidRPr="00955023" w:rsidRDefault="00D426A4" w:rsidP="00196310">
      <w:pPr>
        <w:pStyle w:val="NormalWeb"/>
        <w:spacing w:line="480" w:lineRule="auto"/>
        <w:rPr>
          <w:sz w:val="28"/>
          <w:szCs w:val="28"/>
          <w:bdr w:val="none" w:sz="0" w:space="0" w:color="auto" w:frame="1"/>
        </w:rPr>
      </w:pPr>
    </w:p>
    <w:p w14:paraId="3CAFB04C" w14:textId="5027A2FD" w:rsidR="00D426A4" w:rsidRPr="00955023" w:rsidRDefault="00416754" w:rsidP="00196310">
      <w:pPr>
        <w:pStyle w:val="NormalWeb"/>
        <w:spacing w:line="480" w:lineRule="auto"/>
        <w:jc w:val="center"/>
        <w:rPr>
          <w:b/>
          <w:sz w:val="28"/>
          <w:szCs w:val="28"/>
          <w:u w:val="single"/>
          <w:bdr w:val="none" w:sz="0" w:space="0" w:color="auto" w:frame="1"/>
        </w:rPr>
      </w:pPr>
      <w:r w:rsidRPr="00955023">
        <w:rPr>
          <w:b/>
          <w:sz w:val="28"/>
          <w:szCs w:val="28"/>
          <w:u w:val="single"/>
          <w:bdr w:val="none" w:sz="0" w:space="0" w:color="auto" w:frame="1"/>
        </w:rPr>
        <w:t>The Ninth Circuit’s position on non-subject-matter jurisdiction of an Immigration Court vesting solely upon non-jurisdictional regulations does not explain how an Immigration Court is vested with subject-matter jurisdiction to hold removal proceedings against Respondent.</w:t>
      </w:r>
    </w:p>
    <w:p w14:paraId="7E2D5A80" w14:textId="7C85B7E9" w:rsidR="00624453" w:rsidRPr="00955023" w:rsidRDefault="00B42A72" w:rsidP="00196310">
      <w:pPr>
        <w:pStyle w:val="NormalWeb"/>
        <w:spacing w:line="480" w:lineRule="auto"/>
        <w:rPr>
          <w:sz w:val="28"/>
          <w:szCs w:val="28"/>
          <w:bdr w:val="none" w:sz="0" w:space="0" w:color="auto" w:frame="1"/>
        </w:rPr>
      </w:pPr>
      <w:r w:rsidRPr="00955023">
        <w:rPr>
          <w:sz w:val="28"/>
          <w:szCs w:val="28"/>
          <w:bdr w:val="none" w:sz="0" w:space="0" w:color="auto" w:frame="1"/>
        </w:rPr>
        <w:t xml:space="preserve">The freshest </w:t>
      </w:r>
      <w:r w:rsidR="001853E9" w:rsidRPr="00955023">
        <w:rPr>
          <w:sz w:val="28"/>
          <w:szCs w:val="28"/>
          <w:bdr w:val="none" w:sz="0" w:space="0" w:color="auto" w:frame="1"/>
        </w:rPr>
        <w:t xml:space="preserve">Ninth Circuit </w:t>
      </w:r>
      <w:r w:rsidRPr="00955023">
        <w:rPr>
          <w:sz w:val="28"/>
          <w:szCs w:val="28"/>
          <w:bdr w:val="none" w:sz="0" w:space="0" w:color="auto" w:frame="1"/>
        </w:rPr>
        <w:t xml:space="preserve">precedent </w:t>
      </w:r>
      <w:r w:rsidR="001853E9" w:rsidRPr="00955023">
        <w:rPr>
          <w:sz w:val="28"/>
          <w:szCs w:val="28"/>
          <w:bdr w:val="none" w:sz="0" w:space="0" w:color="auto" w:frame="1"/>
        </w:rPr>
        <w:t xml:space="preserve">on jurisdiction of an Immigration Court </w:t>
      </w:r>
      <w:r w:rsidRPr="00955023">
        <w:rPr>
          <w:sz w:val="28"/>
          <w:szCs w:val="28"/>
          <w:bdr w:val="none" w:sz="0" w:space="0" w:color="auto" w:frame="1"/>
        </w:rPr>
        <w:t xml:space="preserve">summarizers the prior precedents on </w:t>
      </w:r>
      <w:r w:rsidR="009E0635">
        <w:rPr>
          <w:sz w:val="28"/>
          <w:szCs w:val="28"/>
          <w:bdr w:val="none" w:sz="0" w:space="0" w:color="auto" w:frame="1"/>
        </w:rPr>
        <w:t>vesting of non-subject-matter jurisdiction</w:t>
      </w:r>
      <w:r w:rsidRPr="00955023">
        <w:rPr>
          <w:sz w:val="28"/>
          <w:szCs w:val="28"/>
          <w:bdr w:val="none" w:sz="0" w:space="0" w:color="auto" w:frame="1"/>
        </w:rPr>
        <w:t xml:space="preserve"> as follows,</w:t>
      </w:r>
    </w:p>
    <w:p w14:paraId="70C57F08" w14:textId="6628E331" w:rsidR="00B42A72" w:rsidRPr="00955023" w:rsidRDefault="00B42A72" w:rsidP="00196310">
      <w:pPr>
        <w:pStyle w:val="NormalWeb"/>
        <w:spacing w:line="480" w:lineRule="auto"/>
        <w:ind w:left="720"/>
        <w:rPr>
          <w:rFonts w:eastAsiaTheme="minorHAnsi"/>
          <w:sz w:val="28"/>
          <w:szCs w:val="28"/>
        </w:rPr>
      </w:pPr>
      <w:r w:rsidRPr="00955023">
        <w:rPr>
          <w:sz w:val="28"/>
          <w:szCs w:val="28"/>
          <w:bdr w:val="none" w:sz="0" w:space="0" w:color="auto" w:frame="1"/>
        </w:rPr>
        <w:t>“</w:t>
      </w:r>
      <w:r w:rsidRPr="00955023">
        <w:rPr>
          <w:rFonts w:eastAsiaTheme="minorHAnsi"/>
          <w:sz w:val="28"/>
          <w:szCs w:val="28"/>
        </w:rPr>
        <w:t xml:space="preserve">In </w:t>
      </w:r>
      <w:r w:rsidRPr="00955023">
        <w:rPr>
          <w:rFonts w:eastAsiaTheme="minorHAnsi"/>
          <w:i/>
          <w:iCs/>
          <w:sz w:val="28"/>
          <w:szCs w:val="28"/>
        </w:rPr>
        <w:t>Bastide-Hernandez</w:t>
      </w:r>
      <w:r w:rsidRPr="00955023">
        <w:rPr>
          <w:rFonts w:eastAsiaTheme="minorHAnsi"/>
          <w:sz w:val="28"/>
          <w:szCs w:val="28"/>
        </w:rPr>
        <w:t xml:space="preserve">, the majority held that </w:t>
      </w:r>
      <w:r w:rsidRPr="00955023">
        <w:rPr>
          <w:rFonts w:eastAsiaTheme="minorHAnsi"/>
          <w:i/>
          <w:iCs/>
          <w:sz w:val="28"/>
          <w:szCs w:val="28"/>
        </w:rPr>
        <w:t xml:space="preserve">Karingithi </w:t>
      </w:r>
      <w:r w:rsidRPr="00955023">
        <w:rPr>
          <w:rFonts w:eastAsiaTheme="minorHAnsi"/>
          <w:sz w:val="28"/>
          <w:szCs w:val="28"/>
        </w:rPr>
        <w:t xml:space="preserve">and </w:t>
      </w:r>
      <w:r w:rsidRPr="00955023">
        <w:rPr>
          <w:rFonts w:eastAsiaTheme="minorHAnsi"/>
          <w:i/>
          <w:iCs/>
          <w:sz w:val="28"/>
          <w:szCs w:val="28"/>
        </w:rPr>
        <w:t xml:space="preserve">Aguilar Fermin </w:t>
      </w:r>
      <w:r w:rsidRPr="00955023">
        <w:rPr>
          <w:rFonts w:eastAsiaTheme="minorHAnsi"/>
          <w:sz w:val="28"/>
          <w:szCs w:val="28"/>
        </w:rPr>
        <w:t xml:space="preserve">compel the conclusion that “the jurisdiction of the immigration court vests upon the filing of an NTA, even one that does not at that time inform the alien of the time, date, and location of the hearing.” </w:t>
      </w:r>
      <w:r w:rsidRPr="00955023">
        <w:rPr>
          <w:rFonts w:eastAsiaTheme="minorHAnsi"/>
          <w:i/>
          <w:iCs/>
          <w:sz w:val="28"/>
          <w:szCs w:val="28"/>
        </w:rPr>
        <w:t>Bastide- Hernandez</w:t>
      </w:r>
      <w:r w:rsidRPr="00955023">
        <w:rPr>
          <w:rFonts w:eastAsiaTheme="minorHAnsi"/>
          <w:sz w:val="28"/>
          <w:szCs w:val="28"/>
        </w:rPr>
        <w:t>, 2021 WL 345581, at *2.”</w:t>
      </w:r>
    </w:p>
    <w:p w14:paraId="1A3BAE4B" w14:textId="77777777" w:rsidR="00812F20" w:rsidRPr="00955023" w:rsidRDefault="00B42A72" w:rsidP="00196310">
      <w:pPr>
        <w:pStyle w:val="NormalWeb"/>
        <w:spacing w:line="480" w:lineRule="auto"/>
        <w:rPr>
          <w:sz w:val="28"/>
          <w:szCs w:val="28"/>
          <w:bdr w:val="none" w:sz="0" w:space="0" w:color="auto" w:frame="1"/>
        </w:rPr>
      </w:pPr>
      <w:r w:rsidRPr="00955023">
        <w:rPr>
          <w:i/>
          <w:sz w:val="28"/>
          <w:szCs w:val="28"/>
          <w:bdr w:val="none" w:sz="0" w:space="0" w:color="auto" w:frame="1"/>
        </w:rPr>
        <w:t>U.S. v. Gonzalez-Valencia</w:t>
      </w:r>
      <w:r w:rsidRPr="00955023">
        <w:rPr>
          <w:sz w:val="28"/>
          <w:szCs w:val="28"/>
          <w:bdr w:val="none" w:sz="0" w:space="0" w:color="auto" w:frame="1"/>
        </w:rPr>
        <w:t>, No. 19-30222, Feb. 12, 2021 (9</w:t>
      </w:r>
      <w:r w:rsidRPr="00955023">
        <w:rPr>
          <w:sz w:val="28"/>
          <w:szCs w:val="28"/>
          <w:bdr w:val="none" w:sz="0" w:space="0" w:color="auto" w:frame="1"/>
          <w:vertAlign w:val="superscript"/>
        </w:rPr>
        <w:t xml:space="preserve">th </w:t>
      </w:r>
      <w:r w:rsidRPr="00955023">
        <w:rPr>
          <w:sz w:val="28"/>
          <w:szCs w:val="28"/>
          <w:bdr w:val="none" w:sz="0" w:space="0" w:color="auto" w:frame="1"/>
        </w:rPr>
        <w:t>Cir. 2021)</w:t>
      </w:r>
      <w:r w:rsidR="00EB7B3C" w:rsidRPr="00955023">
        <w:rPr>
          <w:sz w:val="28"/>
          <w:szCs w:val="28"/>
          <w:bdr w:val="none" w:sz="0" w:space="0" w:color="auto" w:frame="1"/>
        </w:rPr>
        <w:t xml:space="preserve"> at 5</w:t>
      </w:r>
      <w:r w:rsidRPr="00955023">
        <w:rPr>
          <w:sz w:val="28"/>
          <w:szCs w:val="28"/>
          <w:bdr w:val="none" w:sz="0" w:space="0" w:color="auto" w:frame="1"/>
        </w:rPr>
        <w:t>.</w:t>
      </w:r>
      <w:r w:rsidR="001853E9" w:rsidRPr="00955023">
        <w:rPr>
          <w:sz w:val="28"/>
          <w:szCs w:val="28"/>
          <w:bdr w:val="none" w:sz="0" w:space="0" w:color="auto" w:frame="1"/>
        </w:rPr>
        <w:t xml:space="preserve"> </w:t>
      </w:r>
      <w:r w:rsidR="00812F20" w:rsidRPr="00955023">
        <w:rPr>
          <w:sz w:val="28"/>
          <w:szCs w:val="28"/>
          <w:bdr w:val="none" w:sz="0" w:space="0" w:color="auto" w:frame="1"/>
        </w:rPr>
        <w:t xml:space="preserve">Importantly, this precedent does not deal with subject-matter jurisdiction. </w:t>
      </w:r>
    </w:p>
    <w:p w14:paraId="6EFA4376" w14:textId="77777777" w:rsidR="00812F20" w:rsidRPr="00955023" w:rsidRDefault="00812F20" w:rsidP="00196310">
      <w:pPr>
        <w:pStyle w:val="NormalWeb"/>
        <w:spacing w:line="480" w:lineRule="auto"/>
        <w:rPr>
          <w:sz w:val="28"/>
          <w:szCs w:val="28"/>
          <w:bdr w:val="none" w:sz="0" w:space="0" w:color="auto" w:frame="1"/>
        </w:rPr>
      </w:pPr>
    </w:p>
    <w:p w14:paraId="259C6220" w14:textId="30ED6121" w:rsidR="00EB7B3C" w:rsidRPr="00955023" w:rsidRDefault="001853E9" w:rsidP="00196310">
      <w:pPr>
        <w:pStyle w:val="NormalWeb"/>
        <w:spacing w:line="480" w:lineRule="auto"/>
        <w:rPr>
          <w:sz w:val="28"/>
          <w:szCs w:val="28"/>
          <w:bdr w:val="none" w:sz="0" w:space="0" w:color="auto" w:frame="1"/>
        </w:rPr>
      </w:pPr>
      <w:r w:rsidRPr="00955023">
        <w:rPr>
          <w:sz w:val="28"/>
          <w:szCs w:val="28"/>
          <w:bdr w:val="none" w:sz="0" w:space="0" w:color="auto" w:frame="1"/>
        </w:rPr>
        <w:t>The second to last precedent on jurisdiction of an Immigration Court has the following</w:t>
      </w:r>
      <w:r w:rsidR="009E0635">
        <w:rPr>
          <w:sz w:val="28"/>
          <w:szCs w:val="28"/>
          <w:bdr w:val="none" w:sz="0" w:space="0" w:color="auto" w:frame="1"/>
        </w:rPr>
        <w:t xml:space="preserve"> language</w:t>
      </w:r>
      <w:r w:rsidRPr="00955023">
        <w:rPr>
          <w:sz w:val="28"/>
          <w:szCs w:val="28"/>
          <w:bdr w:val="none" w:sz="0" w:space="0" w:color="auto" w:frame="1"/>
        </w:rPr>
        <w:t>,</w:t>
      </w:r>
    </w:p>
    <w:p w14:paraId="7B6D2AB5" w14:textId="77777777" w:rsidR="00EB7B3C" w:rsidRPr="00955023" w:rsidRDefault="00EB7B3C" w:rsidP="00196310">
      <w:pPr>
        <w:pStyle w:val="NormalWeb"/>
        <w:spacing w:line="480" w:lineRule="auto"/>
        <w:rPr>
          <w:rFonts w:eastAsiaTheme="minorHAnsi"/>
          <w:sz w:val="28"/>
          <w:szCs w:val="28"/>
        </w:rPr>
      </w:pPr>
    </w:p>
    <w:p w14:paraId="260C4DBA" w14:textId="77777777" w:rsidR="00B42A72" w:rsidRPr="00955023" w:rsidRDefault="00B42A72" w:rsidP="00196310">
      <w:pPr>
        <w:pStyle w:val="NormalWeb"/>
        <w:spacing w:line="480" w:lineRule="auto"/>
        <w:ind w:left="720"/>
        <w:rPr>
          <w:rFonts w:eastAsiaTheme="minorHAnsi"/>
          <w:sz w:val="28"/>
          <w:szCs w:val="28"/>
        </w:rPr>
      </w:pPr>
      <w:r w:rsidRPr="00955023">
        <w:rPr>
          <w:sz w:val="28"/>
          <w:szCs w:val="28"/>
          <w:bdr w:val="none" w:sz="0" w:space="0" w:color="auto" w:frame="1"/>
        </w:rPr>
        <w:t>“</w:t>
      </w:r>
      <w:r w:rsidRPr="00955023">
        <w:rPr>
          <w:rFonts w:eastAsiaTheme="minorHAnsi"/>
          <w:sz w:val="28"/>
          <w:szCs w:val="28"/>
        </w:rPr>
        <w:t xml:space="preserve">Under </w:t>
      </w:r>
      <w:r w:rsidRPr="00955023">
        <w:rPr>
          <w:rFonts w:eastAsiaTheme="minorHAnsi"/>
          <w:i/>
          <w:iCs/>
          <w:sz w:val="28"/>
          <w:szCs w:val="28"/>
        </w:rPr>
        <w:t xml:space="preserve">Karingithi </w:t>
      </w:r>
      <w:r w:rsidRPr="00955023">
        <w:rPr>
          <w:rFonts w:eastAsiaTheme="minorHAnsi"/>
          <w:sz w:val="28"/>
          <w:szCs w:val="28"/>
        </w:rPr>
        <w:t xml:space="preserve">and </w:t>
      </w:r>
      <w:r w:rsidRPr="00955023">
        <w:rPr>
          <w:rFonts w:eastAsiaTheme="minorHAnsi"/>
          <w:i/>
          <w:iCs/>
          <w:sz w:val="28"/>
          <w:szCs w:val="28"/>
        </w:rPr>
        <w:t xml:space="preserve">Aguilar Fermin, </w:t>
      </w:r>
      <w:r w:rsidRPr="00955023">
        <w:rPr>
          <w:rFonts w:eastAsiaTheme="minorHAnsi"/>
          <w:sz w:val="28"/>
          <w:szCs w:val="28"/>
        </w:rPr>
        <w:t xml:space="preserve">a defective NTA does not divest the immigration court of jurisdiction. </w:t>
      </w:r>
      <w:r w:rsidRPr="00955023">
        <w:rPr>
          <w:rFonts w:eastAsiaTheme="minorHAnsi"/>
          <w:i/>
          <w:iCs/>
          <w:sz w:val="28"/>
          <w:szCs w:val="28"/>
        </w:rPr>
        <w:t xml:space="preserve">Karingithi </w:t>
      </w:r>
      <w:r w:rsidRPr="00955023">
        <w:rPr>
          <w:rFonts w:eastAsiaTheme="minorHAnsi"/>
          <w:sz w:val="28"/>
          <w:szCs w:val="28"/>
        </w:rPr>
        <w:t>held that regulations promulgated by the Attorney Genera</w:t>
      </w:r>
      <w:r w:rsidR="00EB7B3C" w:rsidRPr="00955023">
        <w:rPr>
          <w:rFonts w:eastAsiaTheme="minorHAnsi"/>
          <w:sz w:val="28"/>
          <w:szCs w:val="28"/>
        </w:rPr>
        <w:t xml:space="preserve">l </w:t>
      </w:r>
      <w:r w:rsidRPr="00955023">
        <w:rPr>
          <w:rFonts w:eastAsiaTheme="minorHAnsi"/>
          <w:sz w:val="28"/>
          <w:szCs w:val="28"/>
        </w:rPr>
        <w:t>define when the jurisdiction of immigration courts vests, rather than the statute</w:t>
      </w:r>
      <w:r w:rsidRPr="00955023">
        <w:rPr>
          <w:rFonts w:eastAsiaTheme="minorHAnsi"/>
          <w:b/>
          <w:bCs/>
          <w:position w:val="264"/>
          <w:sz w:val="28"/>
          <w:szCs w:val="28"/>
        </w:rPr>
        <w:t xml:space="preserve"> </w:t>
      </w:r>
      <w:r w:rsidRPr="00955023">
        <w:rPr>
          <w:rFonts w:eastAsiaTheme="minorHAnsi"/>
          <w:sz w:val="28"/>
          <w:szCs w:val="28"/>
        </w:rPr>
        <w:t xml:space="preserve">authorizing those regulations. Failure to include the date and time of a removal hearing in an NTA does not deprive the immigration court of </w:t>
      </w:r>
      <w:r w:rsidRPr="00955023">
        <w:rPr>
          <w:rFonts w:eastAsiaTheme="minorHAnsi"/>
          <w:b/>
          <w:color w:val="C00000"/>
          <w:sz w:val="28"/>
          <w:szCs w:val="28"/>
        </w:rPr>
        <w:t>subject-matter</w:t>
      </w:r>
      <w:r w:rsidRPr="00955023">
        <w:rPr>
          <w:rFonts w:eastAsiaTheme="minorHAnsi"/>
          <w:color w:val="C00000"/>
          <w:sz w:val="28"/>
          <w:szCs w:val="28"/>
        </w:rPr>
        <w:t xml:space="preserve"> </w:t>
      </w:r>
      <w:r w:rsidRPr="00955023">
        <w:rPr>
          <w:rFonts w:eastAsiaTheme="minorHAnsi"/>
          <w:sz w:val="28"/>
          <w:szCs w:val="28"/>
        </w:rPr>
        <w:t xml:space="preserve">jurisdiction so long as the information is provided in a subsequent NOH. </w:t>
      </w:r>
      <w:r w:rsidRPr="00955023">
        <w:rPr>
          <w:rFonts w:eastAsiaTheme="minorHAnsi"/>
          <w:i/>
          <w:iCs/>
          <w:sz w:val="28"/>
          <w:szCs w:val="28"/>
        </w:rPr>
        <w:t>Karingithi</w:t>
      </w:r>
      <w:r w:rsidRPr="00955023">
        <w:rPr>
          <w:rFonts w:eastAsiaTheme="minorHAnsi"/>
          <w:sz w:val="28"/>
          <w:szCs w:val="28"/>
        </w:rPr>
        <w:t xml:space="preserve">, 913 F.3d at 1161–62. Similarly, </w:t>
      </w:r>
      <w:r w:rsidRPr="00955023">
        <w:rPr>
          <w:rFonts w:eastAsiaTheme="minorHAnsi"/>
          <w:i/>
          <w:iCs/>
          <w:sz w:val="28"/>
          <w:szCs w:val="28"/>
        </w:rPr>
        <w:t xml:space="preserve">Aguilar Fermin </w:t>
      </w:r>
      <w:r w:rsidRPr="00955023">
        <w:rPr>
          <w:rFonts w:eastAsiaTheme="minorHAnsi"/>
          <w:sz w:val="28"/>
          <w:szCs w:val="28"/>
        </w:rPr>
        <w:t xml:space="preserve">held that failure to include the address of the immigration court in an NTA does not deprive the immigration court of jurisdiction, so long as a subsequent NOH provides that information. </w:t>
      </w:r>
      <w:r w:rsidRPr="00955023">
        <w:rPr>
          <w:rFonts w:eastAsiaTheme="minorHAnsi"/>
          <w:i/>
          <w:iCs/>
          <w:sz w:val="28"/>
          <w:szCs w:val="28"/>
        </w:rPr>
        <w:t>Aguilar Fermin</w:t>
      </w:r>
      <w:r w:rsidRPr="00955023">
        <w:rPr>
          <w:rFonts w:eastAsiaTheme="minorHAnsi"/>
          <w:sz w:val="28"/>
          <w:szCs w:val="28"/>
        </w:rPr>
        <w:t>, 958 F.3d at 893–95. The regulations provide that “[j]urisdiction vests . . . when a charging document is filed with the Immigration Court,” 8 C.F.R. § 1003.14(a), and requires the NTA include “the time, place and date of the initial removal hearing, where practicable.” 8 C.F.R</w:t>
      </w:r>
      <w:r w:rsidRPr="00955023">
        <w:rPr>
          <w:rFonts w:eastAsiaTheme="minorHAnsi"/>
          <w:i/>
          <w:iCs/>
          <w:sz w:val="28"/>
          <w:szCs w:val="28"/>
        </w:rPr>
        <w:t xml:space="preserve">. </w:t>
      </w:r>
      <w:r w:rsidRPr="00955023">
        <w:rPr>
          <w:rFonts w:eastAsiaTheme="minorHAnsi"/>
          <w:sz w:val="28"/>
          <w:szCs w:val="28"/>
        </w:rPr>
        <w:t xml:space="preserve">§ 1003.18(b).” </w:t>
      </w:r>
    </w:p>
    <w:p w14:paraId="6970050D" w14:textId="46E457AC" w:rsidR="00664B4D" w:rsidRPr="00955023" w:rsidRDefault="00B42A72" w:rsidP="00196310">
      <w:pPr>
        <w:pStyle w:val="NormalWeb"/>
        <w:spacing w:line="480" w:lineRule="auto"/>
        <w:rPr>
          <w:sz w:val="28"/>
          <w:szCs w:val="28"/>
          <w:bdr w:val="none" w:sz="0" w:space="0" w:color="auto" w:frame="1"/>
        </w:rPr>
      </w:pPr>
      <w:r w:rsidRPr="00955023">
        <w:rPr>
          <w:i/>
          <w:sz w:val="28"/>
          <w:szCs w:val="28"/>
          <w:bdr w:val="none" w:sz="0" w:space="0" w:color="auto" w:frame="1"/>
        </w:rPr>
        <w:t>U.S. v. Batiste-Hernandez</w:t>
      </w:r>
      <w:r w:rsidRPr="00955023">
        <w:rPr>
          <w:sz w:val="28"/>
          <w:szCs w:val="28"/>
          <w:bdr w:val="none" w:sz="0" w:space="0" w:color="auto" w:frame="1"/>
        </w:rPr>
        <w:t>, No 19-30006, Feb. 2, 2021 (9</w:t>
      </w:r>
      <w:r w:rsidRPr="00955023">
        <w:rPr>
          <w:sz w:val="28"/>
          <w:szCs w:val="28"/>
          <w:bdr w:val="none" w:sz="0" w:space="0" w:color="auto" w:frame="1"/>
          <w:vertAlign w:val="superscript"/>
        </w:rPr>
        <w:t>th</w:t>
      </w:r>
      <w:r w:rsidRPr="00955023">
        <w:rPr>
          <w:sz w:val="28"/>
          <w:szCs w:val="28"/>
          <w:bdr w:val="none" w:sz="0" w:space="0" w:color="auto" w:frame="1"/>
        </w:rPr>
        <w:t xml:space="preserve"> Cir. 2021)</w:t>
      </w:r>
      <w:r w:rsidR="00331D18" w:rsidRPr="00955023">
        <w:rPr>
          <w:sz w:val="28"/>
          <w:szCs w:val="28"/>
          <w:bdr w:val="none" w:sz="0" w:space="0" w:color="auto" w:frame="1"/>
        </w:rPr>
        <w:t xml:space="preserve"> at 5-6</w:t>
      </w:r>
      <w:r w:rsidRPr="00955023">
        <w:rPr>
          <w:sz w:val="28"/>
          <w:szCs w:val="28"/>
          <w:bdr w:val="none" w:sz="0" w:space="0" w:color="auto" w:frame="1"/>
        </w:rPr>
        <w:t>.</w:t>
      </w:r>
      <w:r w:rsidR="00812F20" w:rsidRPr="00955023">
        <w:rPr>
          <w:sz w:val="28"/>
          <w:szCs w:val="28"/>
          <w:bdr w:val="none" w:sz="0" w:space="0" w:color="auto" w:frame="1"/>
        </w:rPr>
        <w:t xml:space="preserve"> The term “subject-matter jurisdiction” is used in reliance on </w:t>
      </w:r>
      <w:r w:rsidR="00812F20" w:rsidRPr="00955023">
        <w:rPr>
          <w:rFonts w:eastAsiaTheme="minorHAnsi"/>
          <w:i/>
          <w:iCs/>
          <w:sz w:val="28"/>
          <w:szCs w:val="28"/>
        </w:rPr>
        <w:t>Karingithi</w:t>
      </w:r>
      <w:r w:rsidR="00812F20" w:rsidRPr="00955023">
        <w:rPr>
          <w:rFonts w:eastAsiaTheme="minorHAnsi"/>
          <w:iCs/>
          <w:sz w:val="28"/>
          <w:szCs w:val="28"/>
        </w:rPr>
        <w:t>, which does NOT use the term “subject-matter jurisdiction</w:t>
      </w:r>
      <w:r w:rsidR="00E97F4D">
        <w:rPr>
          <w:rFonts w:eastAsiaTheme="minorHAnsi"/>
          <w:iCs/>
          <w:sz w:val="28"/>
          <w:szCs w:val="28"/>
        </w:rPr>
        <w:t xml:space="preserve">. Use of the term “subject-matter jurisdiction” in </w:t>
      </w:r>
      <w:r w:rsidR="00E97F4D" w:rsidRPr="00955023">
        <w:rPr>
          <w:i/>
          <w:sz w:val="28"/>
          <w:szCs w:val="28"/>
          <w:bdr w:val="none" w:sz="0" w:space="0" w:color="auto" w:frame="1"/>
        </w:rPr>
        <w:t>Batiste-Hernandez</w:t>
      </w:r>
      <w:r w:rsidR="00664B4D" w:rsidRPr="00955023">
        <w:rPr>
          <w:rFonts w:eastAsiaTheme="minorHAnsi"/>
          <w:iCs/>
          <w:sz w:val="28"/>
          <w:szCs w:val="28"/>
        </w:rPr>
        <w:t xml:space="preserve"> is dubious by reason of incorrect citing to precedent.</w:t>
      </w:r>
      <w:r w:rsidR="00812F20" w:rsidRPr="00955023">
        <w:rPr>
          <w:rFonts w:eastAsiaTheme="minorHAnsi"/>
          <w:iCs/>
          <w:sz w:val="28"/>
          <w:szCs w:val="28"/>
        </w:rPr>
        <w:t xml:space="preserve"> </w:t>
      </w:r>
      <w:r w:rsidR="00664B4D" w:rsidRPr="00955023">
        <w:rPr>
          <w:rFonts w:eastAsiaTheme="minorHAnsi"/>
          <w:iCs/>
          <w:sz w:val="28"/>
          <w:szCs w:val="28"/>
        </w:rPr>
        <w:t xml:space="preserve">More to the point, </w:t>
      </w:r>
      <w:r w:rsidR="00664B4D" w:rsidRPr="00955023">
        <w:rPr>
          <w:rFonts w:eastAsiaTheme="minorHAnsi"/>
          <w:i/>
          <w:iCs/>
          <w:sz w:val="28"/>
          <w:szCs w:val="28"/>
        </w:rPr>
        <w:t>Batiste-Hernandez</w:t>
      </w:r>
      <w:r w:rsidR="00664B4D" w:rsidRPr="00955023">
        <w:rPr>
          <w:rFonts w:eastAsiaTheme="minorHAnsi"/>
          <w:iCs/>
          <w:sz w:val="28"/>
          <w:szCs w:val="28"/>
        </w:rPr>
        <w:t xml:space="preserve"> finds subject-matter jurisdiction “</w:t>
      </w:r>
      <w:r w:rsidR="00664B4D" w:rsidRPr="00955023">
        <w:rPr>
          <w:rFonts w:eastAsiaTheme="minorHAnsi"/>
          <w:sz w:val="28"/>
          <w:szCs w:val="28"/>
        </w:rPr>
        <w:t>so long as the information is provided in a subsequent NOH</w:t>
      </w:r>
      <w:r w:rsidR="00664B4D" w:rsidRPr="00955023">
        <w:rPr>
          <w:rFonts w:eastAsiaTheme="minorHAnsi"/>
          <w:sz w:val="28"/>
          <w:szCs w:val="28"/>
        </w:rPr>
        <w:t>”</w:t>
      </w:r>
      <w:r w:rsidR="00664B4D" w:rsidRPr="00955023">
        <w:rPr>
          <w:rFonts w:eastAsiaTheme="minorHAnsi"/>
          <w:sz w:val="28"/>
          <w:szCs w:val="28"/>
        </w:rPr>
        <w:t>.</w:t>
      </w:r>
      <w:r w:rsidR="00664B4D" w:rsidRPr="00955023">
        <w:rPr>
          <w:i/>
          <w:sz w:val="28"/>
          <w:szCs w:val="28"/>
          <w:bdr w:val="none" w:sz="0" w:space="0" w:color="auto" w:frame="1"/>
        </w:rPr>
        <w:t xml:space="preserve"> </w:t>
      </w:r>
      <w:r w:rsidR="00664B4D" w:rsidRPr="00955023">
        <w:rPr>
          <w:i/>
          <w:sz w:val="28"/>
          <w:szCs w:val="28"/>
          <w:bdr w:val="none" w:sz="0" w:space="0" w:color="auto" w:frame="1"/>
        </w:rPr>
        <w:t>U.S. v. Batiste-Hernandez</w:t>
      </w:r>
      <w:r w:rsidR="00664B4D" w:rsidRPr="00955023">
        <w:rPr>
          <w:sz w:val="28"/>
          <w:szCs w:val="28"/>
          <w:bdr w:val="none" w:sz="0" w:space="0" w:color="auto" w:frame="1"/>
        </w:rPr>
        <w:t>, No 19-30006, Feb. 2, 2021 (9</w:t>
      </w:r>
      <w:r w:rsidR="00664B4D" w:rsidRPr="00955023">
        <w:rPr>
          <w:sz w:val="28"/>
          <w:szCs w:val="28"/>
          <w:bdr w:val="none" w:sz="0" w:space="0" w:color="auto" w:frame="1"/>
          <w:vertAlign w:val="superscript"/>
        </w:rPr>
        <w:t>th</w:t>
      </w:r>
      <w:r w:rsidR="00664B4D" w:rsidRPr="00955023">
        <w:rPr>
          <w:sz w:val="28"/>
          <w:szCs w:val="28"/>
          <w:bdr w:val="none" w:sz="0" w:space="0" w:color="auto" w:frame="1"/>
        </w:rPr>
        <w:t xml:space="preserve"> Cir. 2021) at 5</w:t>
      </w:r>
      <w:r w:rsidR="00664B4D" w:rsidRPr="00955023">
        <w:rPr>
          <w:sz w:val="28"/>
          <w:szCs w:val="28"/>
          <w:bdr w:val="none" w:sz="0" w:space="0" w:color="auto" w:frame="1"/>
        </w:rPr>
        <w:t>.</w:t>
      </w:r>
      <w:r w:rsidR="007319B9" w:rsidRPr="00955023">
        <w:rPr>
          <w:sz w:val="28"/>
          <w:szCs w:val="28"/>
          <w:bdr w:val="none" w:sz="0" w:space="0" w:color="auto" w:frame="1"/>
        </w:rPr>
        <w:t xml:space="preserve"> </w:t>
      </w:r>
      <w:r w:rsidR="007319B9" w:rsidRPr="00955023">
        <w:rPr>
          <w:i/>
          <w:sz w:val="28"/>
          <w:szCs w:val="28"/>
        </w:rPr>
        <w:t>Niz-Chavez v Garland</w:t>
      </w:r>
      <w:r w:rsidR="007319B9" w:rsidRPr="00955023">
        <w:rPr>
          <w:sz w:val="28"/>
          <w:szCs w:val="28"/>
        </w:rPr>
        <w:t>, 593 U.S. ___ (2021)</w:t>
      </w:r>
      <w:r w:rsidR="007319B9" w:rsidRPr="00955023">
        <w:rPr>
          <w:sz w:val="28"/>
          <w:szCs w:val="28"/>
        </w:rPr>
        <w:t xml:space="preserve"> abrogated the practice of providing information that statute requires to be provided in the NTA via a subsequent Notice of Hearing (NOH), therefore, directly overruled </w:t>
      </w:r>
      <w:r w:rsidR="007319B9" w:rsidRPr="00955023">
        <w:rPr>
          <w:i/>
          <w:sz w:val="28"/>
          <w:szCs w:val="28"/>
          <w:bdr w:val="none" w:sz="0" w:space="0" w:color="auto" w:frame="1"/>
        </w:rPr>
        <w:t>U.S. v. Batiste-Hernandez</w:t>
      </w:r>
      <w:r w:rsidR="007319B9" w:rsidRPr="00955023">
        <w:rPr>
          <w:sz w:val="28"/>
          <w:szCs w:val="28"/>
          <w:bdr w:val="none" w:sz="0" w:space="0" w:color="auto" w:frame="1"/>
        </w:rPr>
        <w:t>, No 19-30006, Feb. 2, 2021 (9</w:t>
      </w:r>
      <w:r w:rsidR="007319B9" w:rsidRPr="00955023">
        <w:rPr>
          <w:sz w:val="28"/>
          <w:szCs w:val="28"/>
          <w:bdr w:val="none" w:sz="0" w:space="0" w:color="auto" w:frame="1"/>
          <w:vertAlign w:val="superscript"/>
        </w:rPr>
        <w:t>th</w:t>
      </w:r>
      <w:r w:rsidR="007319B9" w:rsidRPr="00955023">
        <w:rPr>
          <w:sz w:val="28"/>
          <w:szCs w:val="28"/>
          <w:bdr w:val="none" w:sz="0" w:space="0" w:color="auto" w:frame="1"/>
        </w:rPr>
        <w:t xml:space="preserve"> Cir. 2021)</w:t>
      </w:r>
      <w:r w:rsidR="007319B9" w:rsidRPr="00955023">
        <w:rPr>
          <w:sz w:val="28"/>
          <w:szCs w:val="28"/>
          <w:bdr w:val="none" w:sz="0" w:space="0" w:color="auto" w:frame="1"/>
        </w:rPr>
        <w:t xml:space="preserve">. </w:t>
      </w:r>
      <w:r w:rsidR="007319B9" w:rsidRPr="00955023">
        <w:rPr>
          <w:i/>
          <w:sz w:val="28"/>
          <w:szCs w:val="28"/>
        </w:rPr>
        <w:t>Niz-Chavez v Garland</w:t>
      </w:r>
      <w:r w:rsidR="007319B9" w:rsidRPr="00955023">
        <w:rPr>
          <w:sz w:val="28"/>
          <w:szCs w:val="28"/>
        </w:rPr>
        <w:t>, 593 U.S. ___ (2021)</w:t>
      </w:r>
      <w:r w:rsidR="007319B9" w:rsidRPr="00955023">
        <w:rPr>
          <w:sz w:val="28"/>
          <w:szCs w:val="28"/>
        </w:rPr>
        <w:t xml:space="preserve"> also overruled </w:t>
      </w:r>
      <w:r w:rsidR="007319B9" w:rsidRPr="00955023">
        <w:rPr>
          <w:i/>
          <w:sz w:val="28"/>
          <w:szCs w:val="28"/>
          <w:bdr w:val="none" w:sz="0" w:space="0" w:color="auto" w:frame="1"/>
        </w:rPr>
        <w:t>U.S. v. Batiste-Hernandez</w:t>
      </w:r>
      <w:r w:rsidR="007319B9" w:rsidRPr="00955023">
        <w:rPr>
          <w:sz w:val="28"/>
          <w:szCs w:val="28"/>
          <w:bdr w:val="none" w:sz="0" w:space="0" w:color="auto" w:frame="1"/>
        </w:rPr>
        <w:t>, No 19-30006, Feb. 2, 2021 (9</w:t>
      </w:r>
      <w:r w:rsidR="007319B9" w:rsidRPr="00955023">
        <w:rPr>
          <w:sz w:val="28"/>
          <w:szCs w:val="28"/>
          <w:bdr w:val="none" w:sz="0" w:space="0" w:color="auto" w:frame="1"/>
          <w:vertAlign w:val="superscript"/>
        </w:rPr>
        <w:t>th</w:t>
      </w:r>
      <w:r w:rsidR="007319B9" w:rsidRPr="00955023">
        <w:rPr>
          <w:sz w:val="28"/>
          <w:szCs w:val="28"/>
          <w:bdr w:val="none" w:sz="0" w:space="0" w:color="auto" w:frame="1"/>
        </w:rPr>
        <w:t xml:space="preserve"> Cir. 2021)</w:t>
      </w:r>
      <w:r w:rsidR="007319B9" w:rsidRPr="00955023">
        <w:rPr>
          <w:sz w:val="28"/>
          <w:szCs w:val="28"/>
          <w:bdr w:val="none" w:sz="0" w:space="0" w:color="auto" w:frame="1"/>
        </w:rPr>
        <w:t xml:space="preserve"> indirectly, as it overruled the precedents</w:t>
      </w:r>
      <w:r w:rsidR="00682928">
        <w:rPr>
          <w:sz w:val="28"/>
          <w:szCs w:val="28"/>
          <w:bdr w:val="none" w:sz="0" w:space="0" w:color="auto" w:frame="1"/>
        </w:rPr>
        <w:t>,</w:t>
      </w:r>
      <w:r w:rsidR="007319B9" w:rsidRPr="00955023">
        <w:rPr>
          <w:sz w:val="28"/>
          <w:szCs w:val="28"/>
          <w:bdr w:val="none" w:sz="0" w:space="0" w:color="auto" w:frame="1"/>
        </w:rPr>
        <w:t xml:space="preserve"> on which </w:t>
      </w:r>
      <w:r w:rsidR="007319B9" w:rsidRPr="00955023">
        <w:rPr>
          <w:i/>
          <w:sz w:val="28"/>
          <w:szCs w:val="28"/>
          <w:bdr w:val="none" w:sz="0" w:space="0" w:color="auto" w:frame="1"/>
        </w:rPr>
        <w:t>Batiste</w:t>
      </w:r>
      <w:r w:rsidR="007319B9" w:rsidRPr="00955023">
        <w:rPr>
          <w:sz w:val="28"/>
          <w:szCs w:val="28"/>
          <w:bdr w:val="none" w:sz="0" w:space="0" w:color="auto" w:frame="1"/>
        </w:rPr>
        <w:t xml:space="preserve"> relied in its </w:t>
      </w:r>
      <w:r w:rsidR="00682928">
        <w:rPr>
          <w:sz w:val="28"/>
          <w:szCs w:val="28"/>
          <w:bdr w:val="none" w:sz="0" w:space="0" w:color="auto" w:frame="1"/>
        </w:rPr>
        <w:t>finding of jurisdiction</w:t>
      </w:r>
      <w:r w:rsidR="007319B9" w:rsidRPr="00955023">
        <w:rPr>
          <w:sz w:val="28"/>
          <w:szCs w:val="28"/>
          <w:bdr w:val="none" w:sz="0" w:space="0" w:color="auto" w:frame="1"/>
        </w:rPr>
        <w:t>.</w:t>
      </w:r>
      <w:r w:rsidR="00921D2E" w:rsidRPr="00955023">
        <w:rPr>
          <w:sz w:val="28"/>
          <w:szCs w:val="28"/>
          <w:bdr w:val="none" w:sz="0" w:space="0" w:color="auto" w:frame="1"/>
        </w:rPr>
        <w:t xml:space="preserve"> </w:t>
      </w:r>
      <w:r w:rsidR="00921D2E" w:rsidRPr="00955023">
        <w:rPr>
          <w:i/>
          <w:sz w:val="28"/>
          <w:szCs w:val="28"/>
        </w:rPr>
        <w:t>Niz-Chavez v Garland</w:t>
      </w:r>
      <w:r w:rsidR="00921D2E" w:rsidRPr="00955023">
        <w:rPr>
          <w:sz w:val="28"/>
          <w:szCs w:val="28"/>
        </w:rPr>
        <w:t>, 593 U.S. ___ (2021)</w:t>
      </w:r>
      <w:r w:rsidR="00921D2E" w:rsidRPr="00955023">
        <w:rPr>
          <w:sz w:val="28"/>
          <w:szCs w:val="28"/>
        </w:rPr>
        <w:t xml:space="preserve"> overruled </w:t>
      </w:r>
      <w:r w:rsidR="00921D2E" w:rsidRPr="00955023">
        <w:rPr>
          <w:i/>
          <w:iCs/>
          <w:sz w:val="28"/>
          <w:szCs w:val="28"/>
          <w:bdr w:val="none" w:sz="0" w:space="0" w:color="auto" w:frame="1"/>
        </w:rPr>
        <w:t>Karingithi v. Whitaker</w:t>
      </w:r>
      <w:r w:rsidR="00921D2E" w:rsidRPr="00955023">
        <w:rPr>
          <w:sz w:val="28"/>
          <w:szCs w:val="28"/>
          <w:bdr w:val="none" w:sz="0" w:space="0" w:color="auto" w:frame="1"/>
        </w:rPr>
        <w:t>, 913 F.3d 1158 (9th Cir. 2019)</w:t>
      </w:r>
      <w:r w:rsidR="00921D2E" w:rsidRPr="00955023">
        <w:rPr>
          <w:sz w:val="28"/>
          <w:szCs w:val="28"/>
          <w:bdr w:val="none" w:sz="0" w:space="0" w:color="auto" w:frame="1"/>
        </w:rPr>
        <w:t xml:space="preserve">, as </w:t>
      </w:r>
      <w:r w:rsidR="00921D2E" w:rsidRPr="00955023">
        <w:rPr>
          <w:i/>
          <w:sz w:val="28"/>
          <w:szCs w:val="28"/>
          <w:bdr w:val="none" w:sz="0" w:space="0" w:color="auto" w:frame="1"/>
        </w:rPr>
        <w:t>Karingithi</w:t>
      </w:r>
      <w:r w:rsidR="00921D2E" w:rsidRPr="00955023">
        <w:rPr>
          <w:sz w:val="28"/>
          <w:szCs w:val="28"/>
          <w:bdr w:val="none" w:sz="0" w:space="0" w:color="auto" w:frame="1"/>
        </w:rPr>
        <w:t xml:space="preserve"> relied on</w:t>
      </w:r>
      <w:r w:rsidR="00DA01E9" w:rsidRPr="00955023">
        <w:rPr>
          <w:sz w:val="28"/>
          <w:szCs w:val="28"/>
          <w:bdr w:val="none" w:sz="0" w:space="0" w:color="auto" w:frame="1"/>
        </w:rPr>
        <w:t xml:space="preserve"> the “two-step process” and relied on </w:t>
      </w:r>
      <w:r w:rsidR="00DA01E9" w:rsidRPr="00955023">
        <w:rPr>
          <w:i/>
          <w:sz w:val="28"/>
          <w:szCs w:val="28"/>
        </w:rPr>
        <w:t>Popa v. Holder</w:t>
      </w:r>
      <w:r w:rsidR="00DA01E9" w:rsidRPr="00955023">
        <w:rPr>
          <w:sz w:val="28"/>
          <w:szCs w:val="28"/>
        </w:rPr>
        <w:t>, 571 F.3d 890 (9</w:t>
      </w:r>
      <w:r w:rsidR="00DA01E9" w:rsidRPr="00955023">
        <w:rPr>
          <w:sz w:val="28"/>
          <w:szCs w:val="28"/>
          <w:vertAlign w:val="superscript"/>
        </w:rPr>
        <w:t>th</w:t>
      </w:r>
      <w:r w:rsidR="00DA01E9" w:rsidRPr="00955023">
        <w:rPr>
          <w:sz w:val="28"/>
          <w:szCs w:val="28"/>
        </w:rPr>
        <w:t xml:space="preserve"> Cir. 2009)</w:t>
      </w:r>
      <w:r w:rsidR="00DA01E9" w:rsidRPr="00955023">
        <w:rPr>
          <w:sz w:val="28"/>
          <w:szCs w:val="28"/>
        </w:rPr>
        <w:t xml:space="preserve">, which </w:t>
      </w:r>
      <w:r w:rsidR="00DA01E9" w:rsidRPr="00955023">
        <w:rPr>
          <w:i/>
          <w:sz w:val="28"/>
          <w:szCs w:val="28"/>
        </w:rPr>
        <w:t>Niz-Chavez</w:t>
      </w:r>
      <w:r w:rsidR="00DA01E9" w:rsidRPr="00955023">
        <w:rPr>
          <w:sz w:val="28"/>
          <w:szCs w:val="28"/>
        </w:rPr>
        <w:t xml:space="preserve"> also overruled.</w:t>
      </w:r>
    </w:p>
    <w:p w14:paraId="6F552B14" w14:textId="77777777" w:rsidR="00664B4D" w:rsidRPr="00955023" w:rsidRDefault="00664B4D" w:rsidP="00196310">
      <w:pPr>
        <w:pStyle w:val="NormalWeb"/>
        <w:spacing w:line="480" w:lineRule="auto"/>
        <w:rPr>
          <w:rFonts w:eastAsiaTheme="minorHAnsi"/>
          <w:iCs/>
          <w:sz w:val="28"/>
          <w:szCs w:val="28"/>
        </w:rPr>
      </w:pPr>
    </w:p>
    <w:p w14:paraId="18AA050A" w14:textId="77777777" w:rsidR="00DA01E9" w:rsidRPr="00955023" w:rsidRDefault="00664B4D" w:rsidP="00196310">
      <w:pPr>
        <w:spacing w:line="480" w:lineRule="auto"/>
        <w:ind w:left="720"/>
        <w:rPr>
          <w:rFonts w:eastAsia="Times New Roman"/>
          <w:color w:val="212529"/>
          <w:sz w:val="28"/>
          <w:szCs w:val="28"/>
          <w:shd w:val="clear" w:color="auto" w:fill="FAFAFA"/>
        </w:rPr>
      </w:pPr>
      <w:r w:rsidRPr="00955023">
        <w:rPr>
          <w:rFonts w:eastAsia="Times New Roman"/>
          <w:color w:val="212529"/>
          <w:sz w:val="28"/>
          <w:szCs w:val="28"/>
          <w:shd w:val="clear" w:color="auto" w:fill="FAFAFA"/>
        </w:rPr>
        <w:t>“</w:t>
      </w:r>
      <w:r w:rsidRPr="00955023">
        <w:rPr>
          <w:rFonts w:eastAsia="Times New Roman"/>
          <w:color w:val="212529"/>
          <w:sz w:val="28"/>
          <w:szCs w:val="28"/>
          <w:shd w:val="clear" w:color="auto" w:fill="FAFAFA"/>
        </w:rPr>
        <w:t>The BIA recently issued a precedential opinion in which it rejected an argument identical to the one advanced by Karingithi.</w:t>
      </w:r>
      <w:r w:rsidRPr="00955023">
        <w:rPr>
          <w:rStyle w:val="apple-converted-space"/>
          <w:rFonts w:eastAsia="Times New Roman"/>
          <w:color w:val="212529"/>
          <w:sz w:val="28"/>
          <w:szCs w:val="28"/>
          <w:shd w:val="clear" w:color="auto" w:fill="FAFAFA"/>
        </w:rPr>
        <w:t> </w:t>
      </w:r>
      <w:r w:rsidRPr="00955023">
        <w:rPr>
          <w:rFonts w:eastAsia="Times New Roman"/>
          <w:i/>
          <w:iCs/>
          <w:color w:val="212529"/>
          <w:sz w:val="28"/>
          <w:szCs w:val="28"/>
        </w:rPr>
        <w:t>Bermudez-Cota</w:t>
      </w:r>
      <w:r w:rsidRPr="00955023">
        <w:rPr>
          <w:rStyle w:val="apple-converted-space"/>
          <w:rFonts w:eastAsia="Times New Roman"/>
          <w:color w:val="212529"/>
          <w:sz w:val="28"/>
          <w:szCs w:val="28"/>
          <w:shd w:val="clear" w:color="auto" w:fill="FAFAFA"/>
        </w:rPr>
        <w:t> </w:t>
      </w:r>
      <w:r w:rsidRPr="00955023">
        <w:rPr>
          <w:rFonts w:eastAsia="Times New Roman"/>
          <w:color w:val="212529"/>
          <w:sz w:val="28"/>
          <w:szCs w:val="28"/>
          <w:shd w:val="clear" w:color="auto" w:fill="FAFAFA"/>
        </w:rPr>
        <w:t>,</w:t>
      </w:r>
      <w:r w:rsidRPr="00955023">
        <w:rPr>
          <w:rStyle w:val="apple-converted-space"/>
          <w:rFonts w:eastAsia="Times New Roman"/>
          <w:color w:val="212529"/>
          <w:sz w:val="28"/>
          <w:szCs w:val="28"/>
          <w:shd w:val="clear" w:color="auto" w:fill="FAFAFA"/>
        </w:rPr>
        <w:t> </w:t>
      </w:r>
      <w:hyperlink r:id="rId7" w:anchor="p442" w:history="1">
        <w:r w:rsidRPr="00955023">
          <w:rPr>
            <w:rStyle w:val="Hyperlink"/>
            <w:color w:val="005AAA"/>
            <w:sz w:val="28"/>
            <w:szCs w:val="28"/>
          </w:rPr>
          <w:t>27 I. &amp; N. Dec. at 442–44</w:t>
        </w:r>
      </w:hyperlink>
      <w:r w:rsidRPr="00955023">
        <w:rPr>
          <w:rFonts w:eastAsia="Times New Roman"/>
          <w:color w:val="212529"/>
          <w:sz w:val="28"/>
          <w:szCs w:val="28"/>
          <w:shd w:val="clear" w:color="auto" w:fill="FAFAFA"/>
        </w:rPr>
        <w:t>. The BIA’s interpretations of its regulations are due "substantial deference," and should be upheld "so long as the interpretation sensibly conforms to the purpose and wording of the regulations."</w:t>
      </w:r>
      <w:r w:rsidRPr="00955023">
        <w:rPr>
          <w:rStyle w:val="apple-converted-space"/>
          <w:rFonts w:eastAsia="Times New Roman"/>
          <w:color w:val="212529"/>
          <w:sz w:val="28"/>
          <w:szCs w:val="28"/>
          <w:shd w:val="clear" w:color="auto" w:fill="FAFAFA"/>
        </w:rPr>
        <w:t> </w:t>
      </w:r>
      <w:r w:rsidRPr="00955023">
        <w:rPr>
          <w:rFonts w:eastAsia="Times New Roman"/>
          <w:i/>
          <w:iCs/>
          <w:color w:val="212529"/>
          <w:sz w:val="28"/>
          <w:szCs w:val="28"/>
        </w:rPr>
        <w:t>Lezama-Garcia v. Holder</w:t>
      </w:r>
      <w:r w:rsidRPr="00955023">
        <w:rPr>
          <w:rStyle w:val="apple-converted-space"/>
          <w:rFonts w:eastAsia="Times New Roman"/>
          <w:color w:val="212529"/>
          <w:sz w:val="28"/>
          <w:szCs w:val="28"/>
          <w:shd w:val="clear" w:color="auto" w:fill="FAFAFA"/>
        </w:rPr>
        <w:t> </w:t>
      </w:r>
      <w:r w:rsidRPr="00955023">
        <w:rPr>
          <w:rFonts w:eastAsia="Times New Roman"/>
          <w:color w:val="212529"/>
          <w:sz w:val="28"/>
          <w:szCs w:val="28"/>
          <w:shd w:val="clear" w:color="auto" w:fill="FAFAFA"/>
        </w:rPr>
        <w:t>,</w:t>
      </w:r>
      <w:r w:rsidRPr="00955023">
        <w:rPr>
          <w:rStyle w:val="apple-converted-space"/>
          <w:rFonts w:eastAsia="Times New Roman"/>
          <w:color w:val="212529"/>
          <w:sz w:val="28"/>
          <w:szCs w:val="28"/>
          <w:shd w:val="clear" w:color="auto" w:fill="FAFAFA"/>
        </w:rPr>
        <w:t> </w:t>
      </w:r>
      <w:hyperlink r:id="rId8" w:anchor="p525" w:history="1">
        <w:r w:rsidRPr="00955023">
          <w:rPr>
            <w:rStyle w:val="Hyperlink"/>
            <w:color w:val="005AAA"/>
            <w:sz w:val="28"/>
            <w:szCs w:val="28"/>
          </w:rPr>
          <w:t>666 F.3d 518, 525</w:t>
        </w:r>
      </w:hyperlink>
      <w:r w:rsidRPr="00955023">
        <w:rPr>
          <w:rStyle w:val="apple-converted-space"/>
          <w:rFonts w:eastAsia="Times New Roman"/>
          <w:color w:val="212529"/>
          <w:sz w:val="28"/>
          <w:szCs w:val="28"/>
          <w:shd w:val="clear" w:color="auto" w:fill="FAFAFA"/>
        </w:rPr>
        <w:t> </w:t>
      </w:r>
      <w:r w:rsidRPr="00955023">
        <w:rPr>
          <w:rFonts w:eastAsia="Times New Roman"/>
          <w:color w:val="212529"/>
          <w:sz w:val="28"/>
          <w:szCs w:val="28"/>
          <w:shd w:val="clear" w:color="auto" w:fill="FAFAFA"/>
        </w:rPr>
        <w:t>(9th Cir. 2011) (internal quotation marks omitted). We therefore defer to the Board’s interpretations of ambiguous regulations unless they are "plainly erroneous," "inconsistent with the regulation," or do "not reflect the agency’s fair and considered judgment."</w:t>
      </w:r>
      <w:r w:rsidRPr="00955023">
        <w:rPr>
          <w:rStyle w:val="apple-converted-space"/>
          <w:rFonts w:eastAsia="Times New Roman"/>
          <w:color w:val="212529"/>
          <w:sz w:val="28"/>
          <w:szCs w:val="28"/>
          <w:shd w:val="clear" w:color="auto" w:fill="FAFAFA"/>
        </w:rPr>
        <w:t> </w:t>
      </w:r>
      <w:r w:rsidRPr="00955023">
        <w:rPr>
          <w:rFonts w:eastAsia="Times New Roman"/>
          <w:i/>
          <w:iCs/>
          <w:color w:val="212529"/>
          <w:sz w:val="28"/>
          <w:szCs w:val="28"/>
        </w:rPr>
        <w:t>Id.</w:t>
      </w:r>
      <w:r w:rsidRPr="00955023">
        <w:rPr>
          <w:rStyle w:val="apple-converted-space"/>
          <w:rFonts w:eastAsia="Times New Roman"/>
          <w:color w:val="212529"/>
          <w:sz w:val="28"/>
          <w:szCs w:val="28"/>
          <w:shd w:val="clear" w:color="auto" w:fill="FAFAFA"/>
        </w:rPr>
        <w:t> </w:t>
      </w:r>
      <w:r w:rsidRPr="00955023">
        <w:rPr>
          <w:rFonts w:eastAsia="Times New Roman"/>
          <w:color w:val="212529"/>
          <w:sz w:val="28"/>
          <w:szCs w:val="28"/>
          <w:shd w:val="clear" w:color="auto" w:fill="FAFAFA"/>
        </w:rPr>
        <w:t>(internal quotation marks omitted).</w:t>
      </w:r>
      <w:r w:rsidRPr="00955023">
        <w:rPr>
          <w:rStyle w:val="apple-converted-space"/>
          <w:rFonts w:eastAsia="Times New Roman"/>
          <w:color w:val="212529"/>
          <w:sz w:val="28"/>
          <w:szCs w:val="28"/>
          <w:shd w:val="clear" w:color="auto" w:fill="FAFAFA"/>
        </w:rPr>
        <w:t> </w:t>
      </w:r>
      <w:r w:rsidRPr="00955023">
        <w:rPr>
          <w:rFonts w:eastAsia="Times New Roman"/>
          <w:i/>
          <w:iCs/>
          <w:color w:val="212529"/>
          <w:sz w:val="28"/>
          <w:szCs w:val="28"/>
        </w:rPr>
        <w:t>Bermudez-Cota</w:t>
      </w:r>
      <w:r w:rsidRPr="00955023">
        <w:rPr>
          <w:rStyle w:val="apple-converted-space"/>
          <w:rFonts w:eastAsia="Times New Roman"/>
          <w:color w:val="212529"/>
          <w:sz w:val="28"/>
          <w:szCs w:val="28"/>
          <w:shd w:val="clear" w:color="auto" w:fill="FAFAFA"/>
        </w:rPr>
        <w:t> </w:t>
      </w:r>
      <w:r w:rsidRPr="00955023">
        <w:rPr>
          <w:rFonts w:eastAsia="Times New Roman"/>
          <w:color w:val="212529"/>
          <w:sz w:val="28"/>
          <w:szCs w:val="28"/>
          <w:shd w:val="clear" w:color="auto" w:fill="FAFAFA"/>
        </w:rPr>
        <w:t>easily meets this standard and is consistent with our analysis.</w:t>
      </w:r>
      <w:r w:rsidRPr="00955023">
        <w:rPr>
          <w:rFonts w:eastAsia="Times New Roman"/>
          <w:color w:val="212529"/>
          <w:sz w:val="28"/>
          <w:szCs w:val="28"/>
          <w:shd w:val="clear" w:color="auto" w:fill="FAFAFA"/>
        </w:rPr>
        <w:t>”</w:t>
      </w:r>
      <w:r w:rsidR="00DA01E9" w:rsidRPr="00955023">
        <w:rPr>
          <w:rFonts w:eastAsia="Times New Roman"/>
          <w:color w:val="212529"/>
          <w:sz w:val="28"/>
          <w:szCs w:val="28"/>
          <w:shd w:val="clear" w:color="auto" w:fill="FAFAFA"/>
        </w:rPr>
        <w:t xml:space="preserve"> </w:t>
      </w:r>
    </w:p>
    <w:p w14:paraId="097EAAFA" w14:textId="63100525" w:rsidR="00664B4D" w:rsidRPr="00955023" w:rsidRDefault="00DA01E9" w:rsidP="00196310">
      <w:pPr>
        <w:spacing w:line="480" w:lineRule="auto"/>
        <w:rPr>
          <w:rFonts w:eastAsia="Times New Roman"/>
          <w:sz w:val="28"/>
          <w:szCs w:val="28"/>
        </w:rPr>
      </w:pPr>
      <w:r w:rsidRPr="00955023">
        <w:rPr>
          <w:i/>
          <w:iCs/>
          <w:sz w:val="28"/>
          <w:szCs w:val="28"/>
          <w:bdr w:val="none" w:sz="0" w:space="0" w:color="auto" w:frame="1"/>
        </w:rPr>
        <w:t>Karingithi v. Whitaker</w:t>
      </w:r>
      <w:r w:rsidRPr="00955023">
        <w:rPr>
          <w:sz w:val="28"/>
          <w:szCs w:val="28"/>
          <w:bdr w:val="none" w:sz="0" w:space="0" w:color="auto" w:frame="1"/>
        </w:rPr>
        <w:t>, 913 F.3d 1158 (9th Cir. 2019)</w:t>
      </w:r>
      <w:r w:rsidRPr="00955023">
        <w:rPr>
          <w:sz w:val="28"/>
          <w:szCs w:val="28"/>
          <w:bdr w:val="none" w:sz="0" w:space="0" w:color="auto" w:frame="1"/>
        </w:rPr>
        <w:t xml:space="preserve">. </w:t>
      </w:r>
      <w:r w:rsidR="00BB0990" w:rsidRPr="00955023">
        <w:rPr>
          <w:sz w:val="28"/>
          <w:szCs w:val="28"/>
          <w:bdr w:val="none" w:sz="0" w:space="0" w:color="auto" w:frame="1"/>
        </w:rPr>
        <w:t xml:space="preserve">Bermudez-Cota, 27 I&amp;N Dec.     </w:t>
      </w:r>
      <w:r w:rsidR="00965041" w:rsidRPr="00955023">
        <w:rPr>
          <w:sz w:val="28"/>
          <w:szCs w:val="28"/>
          <w:bdr w:val="none" w:sz="0" w:space="0" w:color="auto" w:frame="1"/>
        </w:rPr>
        <w:t xml:space="preserve">rests only on </w:t>
      </w:r>
      <w:r w:rsidR="00965041" w:rsidRPr="00955023">
        <w:rPr>
          <w:i/>
          <w:sz w:val="28"/>
          <w:szCs w:val="28"/>
        </w:rPr>
        <w:t>Popa v. Holder</w:t>
      </w:r>
      <w:r w:rsidR="00965041" w:rsidRPr="00955023">
        <w:rPr>
          <w:sz w:val="28"/>
          <w:szCs w:val="28"/>
        </w:rPr>
        <w:t>, 571 F.3d 890 (9</w:t>
      </w:r>
      <w:r w:rsidR="00965041" w:rsidRPr="00955023">
        <w:rPr>
          <w:sz w:val="28"/>
          <w:szCs w:val="28"/>
          <w:vertAlign w:val="superscript"/>
        </w:rPr>
        <w:t>th</w:t>
      </w:r>
      <w:r w:rsidR="00965041" w:rsidRPr="00955023">
        <w:rPr>
          <w:sz w:val="28"/>
          <w:szCs w:val="28"/>
        </w:rPr>
        <w:t xml:space="preserve"> Cir. 2009)</w:t>
      </w:r>
      <w:r w:rsidR="00965041" w:rsidRPr="00955023">
        <w:rPr>
          <w:sz w:val="28"/>
          <w:szCs w:val="28"/>
        </w:rPr>
        <w:t>, which is the precedent that blessed the existing practice of “two-step process.”</w:t>
      </w:r>
      <w:r w:rsidR="00A36DF3" w:rsidRPr="00955023">
        <w:rPr>
          <w:sz w:val="28"/>
          <w:szCs w:val="28"/>
        </w:rPr>
        <w:t xml:space="preserve"> The issue in </w:t>
      </w:r>
      <w:r w:rsidR="00A36DF3" w:rsidRPr="00955023">
        <w:rPr>
          <w:i/>
          <w:sz w:val="28"/>
          <w:szCs w:val="28"/>
        </w:rPr>
        <w:t>Popa</w:t>
      </w:r>
      <w:r w:rsidR="00A36DF3" w:rsidRPr="00955023">
        <w:rPr>
          <w:sz w:val="28"/>
          <w:szCs w:val="28"/>
        </w:rPr>
        <w:t xml:space="preserve"> was as follows,</w:t>
      </w:r>
    </w:p>
    <w:p w14:paraId="36205168" w14:textId="77777777" w:rsidR="00A36DF3" w:rsidRPr="00955023" w:rsidRDefault="00A36DF3" w:rsidP="00196310">
      <w:pPr>
        <w:spacing w:line="480" w:lineRule="auto"/>
        <w:ind w:left="720"/>
        <w:rPr>
          <w:rFonts w:eastAsia="Times New Roman"/>
          <w:color w:val="333333"/>
          <w:spacing w:val="3"/>
          <w:sz w:val="28"/>
          <w:szCs w:val="28"/>
          <w:shd w:val="clear" w:color="auto" w:fill="FFFFFF"/>
        </w:rPr>
      </w:pPr>
      <w:r w:rsidRPr="00955023">
        <w:rPr>
          <w:rFonts w:eastAsia="Times New Roman"/>
          <w:color w:val="333333"/>
          <w:spacing w:val="3"/>
          <w:sz w:val="28"/>
          <w:szCs w:val="28"/>
          <w:shd w:val="clear" w:color="auto" w:fill="FFFFFF"/>
        </w:rPr>
        <w:t xml:space="preserve">“The sole issue in this appeal is whether the government is permitted to provide notice of removal proceedings to an alien using a two-step process: (1) sending a Notice to Appear in which the government states that the date and time of the hearing will be provided at a later time and (2) later sending notice of the hearing with the date and time of the hearing.” </w:t>
      </w:r>
    </w:p>
    <w:p w14:paraId="1C01EFDA" w14:textId="72A6A31C" w:rsidR="00A36DF3" w:rsidRPr="00955023" w:rsidRDefault="00A36DF3" w:rsidP="00196310">
      <w:pPr>
        <w:spacing w:line="480" w:lineRule="auto"/>
        <w:rPr>
          <w:rFonts w:eastAsia="Times New Roman"/>
          <w:color w:val="333333"/>
          <w:spacing w:val="3"/>
          <w:sz w:val="28"/>
          <w:szCs w:val="28"/>
          <w:shd w:val="clear" w:color="auto" w:fill="FFFFFF"/>
        </w:rPr>
      </w:pPr>
      <w:r w:rsidRPr="00955023">
        <w:rPr>
          <w:i/>
          <w:sz w:val="28"/>
          <w:szCs w:val="28"/>
        </w:rPr>
        <w:t>Popa v. Holder</w:t>
      </w:r>
      <w:r w:rsidRPr="00955023">
        <w:rPr>
          <w:sz w:val="28"/>
          <w:szCs w:val="28"/>
        </w:rPr>
        <w:t>, 571 F.3d 890 (9</w:t>
      </w:r>
      <w:r w:rsidRPr="00955023">
        <w:rPr>
          <w:sz w:val="28"/>
          <w:szCs w:val="28"/>
          <w:vertAlign w:val="superscript"/>
        </w:rPr>
        <w:t>th</w:t>
      </w:r>
      <w:r w:rsidRPr="00955023">
        <w:rPr>
          <w:sz w:val="28"/>
          <w:szCs w:val="28"/>
        </w:rPr>
        <w:t xml:space="preserve"> Cir. 2009)</w:t>
      </w:r>
      <w:r w:rsidRPr="00955023">
        <w:rPr>
          <w:rFonts w:eastAsia="Times New Roman"/>
          <w:color w:val="333333"/>
          <w:spacing w:val="3"/>
          <w:sz w:val="28"/>
          <w:szCs w:val="28"/>
          <w:shd w:val="clear" w:color="auto" w:fill="FFFFFF"/>
        </w:rPr>
        <w:t>. This issue was resolved in the following way,</w:t>
      </w:r>
    </w:p>
    <w:p w14:paraId="115B5112" w14:textId="77777777" w:rsidR="00A36DF3" w:rsidRPr="00955023" w:rsidRDefault="00A36DF3" w:rsidP="00196310">
      <w:pPr>
        <w:spacing w:line="480" w:lineRule="auto"/>
        <w:rPr>
          <w:rFonts w:eastAsia="Times New Roman"/>
          <w:color w:val="333333"/>
          <w:spacing w:val="3"/>
          <w:sz w:val="28"/>
          <w:szCs w:val="28"/>
          <w:shd w:val="clear" w:color="auto" w:fill="FFFFFF"/>
        </w:rPr>
      </w:pPr>
    </w:p>
    <w:p w14:paraId="760B9DD9" w14:textId="77777777" w:rsidR="00A36DF3" w:rsidRPr="00955023" w:rsidRDefault="00A36DF3" w:rsidP="00196310">
      <w:pPr>
        <w:spacing w:line="480" w:lineRule="auto"/>
        <w:ind w:left="720"/>
        <w:rPr>
          <w:rFonts w:eastAsia="Times New Roman"/>
          <w:sz w:val="28"/>
          <w:szCs w:val="28"/>
        </w:rPr>
      </w:pPr>
      <w:r w:rsidRPr="00955023">
        <w:rPr>
          <w:rFonts w:eastAsia="Times New Roman"/>
          <w:color w:val="333333"/>
          <w:spacing w:val="3"/>
          <w:sz w:val="28"/>
          <w:szCs w:val="28"/>
          <w:shd w:val="clear" w:color="auto" w:fill="FFFFFF"/>
        </w:rPr>
        <w:t>“Although § 1229(a)(1)(G)(i) requires a notice to appear to "specify[ ]" the time and place at which the proceedings will be held, this court has never held that the NTA cannot state that the time and place of the proceedings will be set at a future time by the Immigration Court. This court silently has adopted the rule that the time and date of a removal proceeding can be sent after the first notice to appear.</w:t>
      </w:r>
      <w:r w:rsidRPr="00955023">
        <w:rPr>
          <w:rFonts w:eastAsia="Times New Roman"/>
          <w:sz w:val="28"/>
          <w:szCs w:val="28"/>
        </w:rPr>
        <w:t xml:space="preserve">” </w:t>
      </w:r>
    </w:p>
    <w:p w14:paraId="02D0B6D0" w14:textId="17848637" w:rsidR="00A36DF3" w:rsidRPr="00955023" w:rsidRDefault="00A36DF3" w:rsidP="00196310">
      <w:pPr>
        <w:pStyle w:val="NormalWeb"/>
        <w:spacing w:line="480" w:lineRule="auto"/>
        <w:rPr>
          <w:sz w:val="28"/>
          <w:szCs w:val="28"/>
          <w:bdr w:val="none" w:sz="0" w:space="0" w:color="auto" w:frame="1"/>
        </w:rPr>
      </w:pPr>
      <w:r w:rsidRPr="00955023">
        <w:rPr>
          <w:i/>
          <w:sz w:val="28"/>
          <w:szCs w:val="28"/>
        </w:rPr>
        <w:t>Popa v. Holder</w:t>
      </w:r>
      <w:r w:rsidRPr="00955023">
        <w:rPr>
          <w:sz w:val="28"/>
          <w:szCs w:val="28"/>
        </w:rPr>
        <w:t>, 571 F.3d 890 (9</w:t>
      </w:r>
      <w:r w:rsidRPr="00955023">
        <w:rPr>
          <w:sz w:val="28"/>
          <w:szCs w:val="28"/>
          <w:vertAlign w:val="superscript"/>
        </w:rPr>
        <w:t>th</w:t>
      </w:r>
      <w:r w:rsidRPr="00955023">
        <w:rPr>
          <w:sz w:val="28"/>
          <w:szCs w:val="28"/>
        </w:rPr>
        <w:t xml:space="preserve"> Cir. 2009)</w:t>
      </w:r>
      <w:r w:rsidRPr="00955023">
        <w:rPr>
          <w:sz w:val="28"/>
          <w:szCs w:val="28"/>
        </w:rPr>
        <w:t>.</w:t>
      </w:r>
      <w:r w:rsidR="00FC4C86" w:rsidRPr="00955023">
        <w:rPr>
          <w:sz w:val="28"/>
          <w:szCs w:val="28"/>
        </w:rPr>
        <w:t xml:space="preserve"> It is the “two-step process” practice blessed in </w:t>
      </w:r>
      <w:r w:rsidR="00FC4C86" w:rsidRPr="00955023">
        <w:rPr>
          <w:i/>
          <w:sz w:val="28"/>
          <w:szCs w:val="28"/>
        </w:rPr>
        <w:t>Popa</w:t>
      </w:r>
      <w:r w:rsidR="00FC4C86" w:rsidRPr="00955023">
        <w:rPr>
          <w:sz w:val="28"/>
          <w:szCs w:val="28"/>
        </w:rPr>
        <w:t xml:space="preserve"> that got overruled by </w:t>
      </w:r>
      <w:r w:rsidR="00FC4C86" w:rsidRPr="00955023">
        <w:rPr>
          <w:i/>
          <w:sz w:val="28"/>
          <w:szCs w:val="28"/>
        </w:rPr>
        <w:t>Niz-Chavez v Garland</w:t>
      </w:r>
      <w:r w:rsidR="00FC4C86" w:rsidRPr="00955023">
        <w:rPr>
          <w:sz w:val="28"/>
          <w:szCs w:val="28"/>
        </w:rPr>
        <w:t>, 593 U.S. ___ (2021)</w:t>
      </w:r>
      <w:r w:rsidR="00FC4C86" w:rsidRPr="00955023">
        <w:rPr>
          <w:sz w:val="28"/>
          <w:szCs w:val="28"/>
        </w:rPr>
        <w:t>.</w:t>
      </w:r>
    </w:p>
    <w:p w14:paraId="40520C44" w14:textId="77777777" w:rsidR="00812F20" w:rsidRPr="00955023" w:rsidRDefault="00812F20" w:rsidP="00196310">
      <w:pPr>
        <w:pStyle w:val="NormalWeb"/>
        <w:spacing w:line="480" w:lineRule="auto"/>
        <w:rPr>
          <w:sz w:val="28"/>
          <w:szCs w:val="28"/>
          <w:bdr w:val="none" w:sz="0" w:space="0" w:color="auto" w:frame="1"/>
        </w:rPr>
      </w:pPr>
    </w:p>
    <w:p w14:paraId="0A55394C" w14:textId="04B92460" w:rsidR="00B25ADE" w:rsidRPr="00955023" w:rsidRDefault="00B25ADE" w:rsidP="00196310">
      <w:pPr>
        <w:spacing w:line="480" w:lineRule="auto"/>
        <w:rPr>
          <w:sz w:val="28"/>
          <w:szCs w:val="28"/>
          <w:bdr w:val="none" w:sz="0" w:space="0" w:color="auto" w:frame="1"/>
        </w:rPr>
      </w:pPr>
      <w:r w:rsidRPr="00955023">
        <w:rPr>
          <w:rFonts w:eastAsia="Times New Roman"/>
          <w:color w:val="212529"/>
          <w:sz w:val="28"/>
          <w:szCs w:val="28"/>
          <w:shd w:val="clear" w:color="auto" w:fill="FAFAFA"/>
        </w:rPr>
        <w:t xml:space="preserve">As a peripheral issue, </w:t>
      </w:r>
      <w:r w:rsidRPr="00955023">
        <w:rPr>
          <w:i/>
          <w:iCs/>
          <w:sz w:val="28"/>
          <w:szCs w:val="28"/>
          <w:bdr w:val="none" w:sz="0" w:space="0" w:color="auto" w:frame="1"/>
        </w:rPr>
        <w:t xml:space="preserve">Karingithi </w:t>
      </w:r>
      <w:r w:rsidRPr="00955023">
        <w:rPr>
          <w:sz w:val="28"/>
          <w:szCs w:val="28"/>
          <w:bdr w:val="none" w:sz="0" w:space="0" w:color="auto" w:frame="1"/>
        </w:rPr>
        <w:t xml:space="preserve">deemed regulations to be jurisdictional. </w:t>
      </w:r>
    </w:p>
    <w:p w14:paraId="07AC30CB" w14:textId="0283C139" w:rsidR="00812F20" w:rsidRPr="00955023" w:rsidRDefault="00812F20" w:rsidP="00196310">
      <w:pPr>
        <w:spacing w:line="480" w:lineRule="auto"/>
        <w:ind w:left="720"/>
        <w:rPr>
          <w:rFonts w:eastAsia="Times New Roman"/>
          <w:color w:val="212529"/>
          <w:sz w:val="28"/>
          <w:szCs w:val="28"/>
          <w:shd w:val="clear" w:color="auto" w:fill="FAFAFA"/>
        </w:rPr>
      </w:pPr>
      <w:r w:rsidRPr="00955023">
        <w:rPr>
          <w:rFonts w:eastAsia="Times New Roman"/>
          <w:color w:val="212529"/>
          <w:sz w:val="28"/>
          <w:szCs w:val="28"/>
          <w:shd w:val="clear" w:color="auto" w:fill="FAFAFA"/>
        </w:rPr>
        <w:t>“</w:t>
      </w:r>
      <w:r w:rsidRPr="00955023">
        <w:rPr>
          <w:rFonts w:eastAsia="Times New Roman"/>
          <w:color w:val="212529"/>
          <w:sz w:val="28"/>
          <w:szCs w:val="28"/>
          <w:shd w:val="clear" w:color="auto" w:fill="FAFAFA"/>
        </w:rPr>
        <w:t>There is no "glue" to bind § 1229(a) and the jurisdictional regulations: the regulations do not reference § 1229(a), which itself makes no mention of the IJ’s jurisdiction.</w:t>
      </w:r>
      <w:r w:rsidRPr="00955023">
        <w:rPr>
          <w:rFonts w:eastAsia="Times New Roman"/>
          <w:color w:val="212529"/>
          <w:sz w:val="28"/>
          <w:szCs w:val="28"/>
          <w:shd w:val="clear" w:color="auto" w:fill="FAFAFA"/>
        </w:rPr>
        <w:t>”</w:t>
      </w:r>
    </w:p>
    <w:p w14:paraId="3A1A11A2" w14:textId="6861F180" w:rsidR="00B25ADE" w:rsidRPr="00955023" w:rsidRDefault="00B25ADE" w:rsidP="00196310">
      <w:pPr>
        <w:spacing w:line="480" w:lineRule="auto"/>
        <w:rPr>
          <w:sz w:val="28"/>
          <w:szCs w:val="28"/>
          <w:bdr w:val="none" w:sz="0" w:space="0" w:color="auto" w:frame="1"/>
        </w:rPr>
      </w:pPr>
      <w:r w:rsidRPr="00955023">
        <w:rPr>
          <w:i/>
          <w:iCs/>
          <w:sz w:val="28"/>
          <w:szCs w:val="28"/>
          <w:bdr w:val="none" w:sz="0" w:space="0" w:color="auto" w:frame="1"/>
        </w:rPr>
        <w:t>Karingithi v. Whitaker</w:t>
      </w:r>
      <w:r w:rsidRPr="00955023">
        <w:rPr>
          <w:sz w:val="28"/>
          <w:szCs w:val="28"/>
          <w:bdr w:val="none" w:sz="0" w:space="0" w:color="auto" w:frame="1"/>
        </w:rPr>
        <w:t>, 913 F.3d 1158 (9th Cir. 2019).</w:t>
      </w:r>
      <w:r w:rsidRPr="00955023">
        <w:rPr>
          <w:sz w:val="28"/>
          <w:szCs w:val="28"/>
          <w:bdr w:val="none" w:sz="0" w:space="0" w:color="auto" w:frame="1"/>
        </w:rPr>
        <w:t xml:space="preserve"> What is a jurisdictional regulation? Does it mean that it confers subject-matter jurisdiction? The answer to this questions do not matter, because the Ninth Circuit changed its positio</w:t>
      </w:r>
      <w:r w:rsidR="00AF281C" w:rsidRPr="00955023">
        <w:rPr>
          <w:sz w:val="28"/>
          <w:szCs w:val="28"/>
          <w:bdr w:val="none" w:sz="0" w:space="0" w:color="auto" w:frame="1"/>
        </w:rPr>
        <w:t>n on regulations, and more rece</w:t>
      </w:r>
      <w:r w:rsidR="009B79E5" w:rsidRPr="00955023">
        <w:rPr>
          <w:sz w:val="28"/>
          <w:szCs w:val="28"/>
          <w:bdr w:val="none" w:sz="0" w:space="0" w:color="auto" w:frame="1"/>
        </w:rPr>
        <w:t>ntly ruled that regulat</w:t>
      </w:r>
      <w:r w:rsidRPr="00955023">
        <w:rPr>
          <w:sz w:val="28"/>
          <w:szCs w:val="28"/>
          <w:bdr w:val="none" w:sz="0" w:space="0" w:color="auto" w:frame="1"/>
        </w:rPr>
        <w:t>ion</w:t>
      </w:r>
      <w:r w:rsidR="009B79E5" w:rsidRPr="00955023">
        <w:rPr>
          <w:sz w:val="28"/>
          <w:szCs w:val="28"/>
          <w:bdr w:val="none" w:sz="0" w:space="0" w:color="auto" w:frame="1"/>
        </w:rPr>
        <w:t>s</w:t>
      </w:r>
      <w:r w:rsidRPr="00955023">
        <w:rPr>
          <w:sz w:val="28"/>
          <w:szCs w:val="28"/>
          <w:bdr w:val="none" w:sz="0" w:space="0" w:color="auto" w:frame="1"/>
        </w:rPr>
        <w:t xml:space="preserve"> are non-jurisdictional claim processing rules and that jurisdiction they confer onto an Immigration Court is not-subject-matter jurisdiction.</w:t>
      </w:r>
      <w:r w:rsidR="009B79E5" w:rsidRPr="00955023">
        <w:rPr>
          <w:sz w:val="28"/>
          <w:szCs w:val="28"/>
          <w:bdr w:val="none" w:sz="0" w:space="0" w:color="auto" w:frame="1"/>
        </w:rPr>
        <w:t xml:space="preserve"> </w:t>
      </w:r>
      <w:r w:rsidR="009B79E5" w:rsidRPr="00955023">
        <w:rPr>
          <w:i/>
          <w:sz w:val="28"/>
          <w:szCs w:val="28"/>
          <w:bdr w:val="none" w:sz="0" w:space="0" w:color="auto" w:frame="1"/>
        </w:rPr>
        <w:t>Aguilar</w:t>
      </w:r>
      <w:r w:rsidR="009B79E5" w:rsidRPr="00955023">
        <w:rPr>
          <w:sz w:val="28"/>
          <w:szCs w:val="28"/>
          <w:bdr w:val="none" w:sz="0" w:space="0" w:color="auto" w:frame="1"/>
        </w:rPr>
        <w:t xml:space="preserve"> </w:t>
      </w:r>
      <w:r w:rsidR="009B79E5" w:rsidRPr="00955023">
        <w:rPr>
          <w:i/>
          <w:iCs/>
          <w:sz w:val="28"/>
          <w:szCs w:val="28"/>
          <w:bdr w:val="none" w:sz="0" w:space="0" w:color="auto" w:frame="1"/>
        </w:rPr>
        <w:t>Fermin v. Barr</w:t>
      </w:r>
      <w:r w:rsidR="009B79E5" w:rsidRPr="00955023">
        <w:rPr>
          <w:sz w:val="28"/>
          <w:szCs w:val="28"/>
          <w:bdr w:val="none" w:sz="0" w:space="0" w:color="auto" w:frame="1"/>
        </w:rPr>
        <w:t>, 958 F.3d 887 (9th Cir. 2020)</w:t>
      </w:r>
      <w:r w:rsidR="00AB63A1" w:rsidRPr="00955023">
        <w:rPr>
          <w:sz w:val="28"/>
          <w:szCs w:val="28"/>
          <w:bdr w:val="none" w:sz="0" w:space="0" w:color="auto" w:frame="1"/>
        </w:rPr>
        <w:t>.</w:t>
      </w:r>
    </w:p>
    <w:p w14:paraId="5DB74E03" w14:textId="77777777" w:rsidR="00547470" w:rsidRPr="00955023" w:rsidRDefault="00547470" w:rsidP="00196310">
      <w:pPr>
        <w:spacing w:line="480" w:lineRule="auto"/>
        <w:rPr>
          <w:sz w:val="28"/>
          <w:szCs w:val="28"/>
          <w:bdr w:val="none" w:sz="0" w:space="0" w:color="auto" w:frame="1"/>
        </w:rPr>
      </w:pPr>
    </w:p>
    <w:p w14:paraId="658E70CE" w14:textId="4DE8F3D1" w:rsidR="00812F20" w:rsidRPr="00955023" w:rsidRDefault="00547470" w:rsidP="00196310">
      <w:pPr>
        <w:spacing w:line="480" w:lineRule="auto"/>
        <w:rPr>
          <w:rFonts w:eastAsia="Times New Roman"/>
          <w:sz w:val="28"/>
          <w:szCs w:val="28"/>
        </w:rPr>
      </w:pPr>
      <w:r w:rsidRPr="00955023">
        <w:rPr>
          <w:sz w:val="28"/>
          <w:szCs w:val="28"/>
          <w:bdr w:val="none" w:sz="0" w:space="0" w:color="auto" w:frame="1"/>
        </w:rPr>
        <w:t xml:space="preserve">The approach of vesting jurisdiction (not necessarily subject-matter) solely under regulations is condemned in </w:t>
      </w:r>
      <w:r w:rsidRPr="00955023">
        <w:rPr>
          <w:i/>
          <w:sz w:val="28"/>
          <w:szCs w:val="28"/>
        </w:rPr>
        <w:t>Niz-Chavez v Garland</w:t>
      </w:r>
      <w:r w:rsidRPr="00955023">
        <w:rPr>
          <w:sz w:val="28"/>
          <w:szCs w:val="28"/>
        </w:rPr>
        <w:t>, 593 U.S. ___ (2021)</w:t>
      </w:r>
      <w:r w:rsidRPr="00955023">
        <w:rPr>
          <w:sz w:val="28"/>
          <w:szCs w:val="28"/>
        </w:rPr>
        <w:t xml:space="preserve"> as follows,</w:t>
      </w:r>
    </w:p>
    <w:p w14:paraId="7CDE7130" w14:textId="77777777" w:rsidR="00547470" w:rsidRPr="00955023" w:rsidRDefault="00AB63A1" w:rsidP="00196310">
      <w:pPr>
        <w:pStyle w:val="BodyTextFirstIndent"/>
        <w:spacing w:after="0" w:line="480" w:lineRule="auto"/>
        <w:ind w:left="720" w:firstLine="0"/>
        <w:rPr>
          <w:rFonts w:ascii="Times New Roman" w:hAnsi="Times New Roman" w:cs="Times New Roman"/>
          <w:sz w:val="28"/>
          <w:szCs w:val="28"/>
        </w:rPr>
      </w:pPr>
      <w:r w:rsidRPr="00955023">
        <w:rPr>
          <w:rFonts w:ascii="Times New Roman" w:hAnsi="Times New Roman" w:cs="Times New Roman"/>
          <w:sz w:val="28"/>
          <w:szCs w:val="28"/>
        </w:rPr>
        <w:t xml:space="preserve">“Ultimately, the government is forced to abandon any pretense of interpreting the statute’s terms and retreat to policy arguments and pleas for deference. The government admits that producing compliant notices has proved taxing over time. It may not know the availability of hearing officers’ schedules at the time it would prefer to initiate proceedings against aliens. Nor, the government contends, does it make sense to include time and place information in a notice to appear when the statute allows it to amend the time and place by serving a supplemental notice. Beyond all that, the government stresses, its own (current) regulations authorize its practice. The dissent expands on all these points at length. </w:t>
      </w:r>
      <w:r w:rsidRPr="00955023">
        <w:rPr>
          <w:rFonts w:ascii="Times New Roman" w:hAnsi="Times New Roman" w:cs="Times New Roman"/>
          <w:i/>
          <w:iCs/>
          <w:sz w:val="28"/>
          <w:szCs w:val="28"/>
        </w:rPr>
        <w:t xml:space="preserve">Post, </w:t>
      </w:r>
      <w:r w:rsidRPr="00955023">
        <w:rPr>
          <w:rFonts w:ascii="Times New Roman" w:hAnsi="Times New Roman" w:cs="Times New Roman"/>
          <w:sz w:val="28"/>
          <w:szCs w:val="28"/>
        </w:rPr>
        <w:t xml:space="preserve">at 17–21. But as this Court has long made plain, pleas of administrative inconvenience and self-serving regulations never “justify departing from the statute’s clear text.” </w:t>
      </w:r>
      <w:r w:rsidRPr="00955023">
        <w:rPr>
          <w:rFonts w:ascii="Times New Roman" w:hAnsi="Times New Roman" w:cs="Times New Roman"/>
          <w:i/>
          <w:iCs/>
          <w:sz w:val="28"/>
          <w:szCs w:val="28"/>
        </w:rPr>
        <w:t>Pereira</w:t>
      </w:r>
      <w:r w:rsidRPr="00955023">
        <w:rPr>
          <w:rFonts w:ascii="Times New Roman" w:hAnsi="Times New Roman" w:cs="Times New Roman"/>
          <w:sz w:val="28"/>
          <w:szCs w:val="28"/>
        </w:rPr>
        <w:t xml:space="preserve">, 585 U. S., at ___ (slip op., at 18).” </w:t>
      </w:r>
    </w:p>
    <w:p w14:paraId="6EB1C784" w14:textId="7CA93D96" w:rsidR="00AB63A1" w:rsidRPr="00955023" w:rsidRDefault="00AB63A1" w:rsidP="00196310">
      <w:pPr>
        <w:pStyle w:val="BodyTextFirstIndent"/>
        <w:spacing w:after="0" w:line="480" w:lineRule="auto"/>
        <w:ind w:firstLine="0"/>
        <w:rPr>
          <w:rFonts w:ascii="Times New Roman" w:hAnsi="Times New Roman" w:cs="Times New Roman"/>
          <w:sz w:val="28"/>
          <w:szCs w:val="28"/>
        </w:rPr>
      </w:pPr>
      <w:r w:rsidRPr="00955023">
        <w:rPr>
          <w:rFonts w:ascii="Times New Roman" w:hAnsi="Times New Roman" w:cs="Times New Roman"/>
          <w:i/>
          <w:sz w:val="28"/>
          <w:szCs w:val="28"/>
        </w:rPr>
        <w:t>Niz-Chavez v Garland</w:t>
      </w:r>
      <w:r w:rsidRPr="00955023">
        <w:rPr>
          <w:rFonts w:ascii="Times New Roman" w:hAnsi="Times New Roman" w:cs="Times New Roman"/>
          <w:sz w:val="28"/>
          <w:szCs w:val="28"/>
        </w:rPr>
        <w:t>, 593 U.S. ___ (2021) at 13.</w:t>
      </w:r>
    </w:p>
    <w:p w14:paraId="127AE51E" w14:textId="77777777" w:rsidR="00547470" w:rsidRPr="00955023" w:rsidRDefault="00AB63A1" w:rsidP="00196310">
      <w:pPr>
        <w:pStyle w:val="BodyTextFirstIndent"/>
        <w:spacing w:after="0" w:line="480" w:lineRule="auto"/>
        <w:rPr>
          <w:rFonts w:ascii="Times New Roman" w:hAnsi="Times New Roman" w:cs="Times New Roman"/>
          <w:sz w:val="28"/>
          <w:szCs w:val="28"/>
        </w:rPr>
      </w:pPr>
      <w:r w:rsidRPr="00955023">
        <w:rPr>
          <w:rFonts w:ascii="Times New Roman" w:hAnsi="Times New Roman" w:cs="Times New Roman"/>
          <w:sz w:val="28"/>
          <w:szCs w:val="28"/>
        </w:rPr>
        <w:t xml:space="preserve">In </w:t>
      </w:r>
      <w:r w:rsidR="00547470" w:rsidRPr="00955023">
        <w:rPr>
          <w:rFonts w:ascii="Times New Roman" w:hAnsi="Times New Roman" w:cs="Times New Roman"/>
          <w:i/>
          <w:sz w:val="28"/>
          <w:szCs w:val="28"/>
        </w:rPr>
        <w:t>Aguilar</w:t>
      </w:r>
      <w:r w:rsidR="00547470" w:rsidRPr="00955023">
        <w:rPr>
          <w:rFonts w:ascii="Times New Roman" w:hAnsi="Times New Roman" w:cs="Times New Roman"/>
          <w:sz w:val="28"/>
          <w:szCs w:val="28"/>
        </w:rPr>
        <w:t xml:space="preserve"> </w:t>
      </w:r>
      <w:r w:rsidRPr="00955023">
        <w:rPr>
          <w:rFonts w:ascii="Times New Roman" w:hAnsi="Times New Roman" w:cs="Times New Roman"/>
          <w:i/>
          <w:sz w:val="28"/>
          <w:szCs w:val="28"/>
        </w:rPr>
        <w:t xml:space="preserve">Fermin v. Barr, </w:t>
      </w:r>
      <w:r w:rsidRPr="00955023">
        <w:rPr>
          <w:rFonts w:ascii="Times New Roman" w:hAnsi="Times New Roman" w:cs="Times New Roman"/>
          <w:sz w:val="28"/>
          <w:szCs w:val="28"/>
        </w:rPr>
        <w:t>958 F.3d 887 (9</w:t>
      </w:r>
      <w:r w:rsidRPr="00955023">
        <w:rPr>
          <w:rFonts w:ascii="Times New Roman" w:hAnsi="Times New Roman" w:cs="Times New Roman"/>
          <w:sz w:val="28"/>
          <w:szCs w:val="28"/>
          <w:vertAlign w:val="superscript"/>
        </w:rPr>
        <w:t>th</w:t>
      </w:r>
      <w:r w:rsidRPr="00955023">
        <w:rPr>
          <w:rFonts w:ascii="Times New Roman" w:hAnsi="Times New Roman" w:cs="Times New Roman"/>
          <w:sz w:val="28"/>
          <w:szCs w:val="28"/>
        </w:rPr>
        <w:t xml:space="preserve"> Cir. 2020) the Ninth Circuit reasoned in favor of a post-filing cure of an incomplete NTA by the second notice as follows, </w:t>
      </w:r>
    </w:p>
    <w:p w14:paraId="19FB6185" w14:textId="77777777" w:rsidR="00547470" w:rsidRPr="00955023" w:rsidRDefault="00AB63A1" w:rsidP="00196310">
      <w:pPr>
        <w:pStyle w:val="BodyTextFirstIndent"/>
        <w:spacing w:after="0" w:line="480" w:lineRule="auto"/>
        <w:rPr>
          <w:rFonts w:ascii="Times New Roman" w:hAnsi="Times New Roman" w:cs="Times New Roman"/>
          <w:sz w:val="28"/>
          <w:szCs w:val="28"/>
        </w:rPr>
      </w:pPr>
      <w:r w:rsidRPr="00955023">
        <w:rPr>
          <w:rFonts w:ascii="Times New Roman" w:hAnsi="Times New Roman" w:cs="Times New Roman"/>
          <w:sz w:val="28"/>
          <w:szCs w:val="28"/>
        </w:rPr>
        <w:t xml:space="preserve">“[t]he panel observed that </w:t>
      </w:r>
      <w:r w:rsidRPr="00955023">
        <w:rPr>
          <w:rFonts w:ascii="Times New Roman" w:hAnsi="Times New Roman" w:cs="Times New Roman"/>
          <w:i/>
          <w:sz w:val="28"/>
          <w:szCs w:val="28"/>
        </w:rPr>
        <w:t>Rosales Vargas</w:t>
      </w:r>
      <w:r w:rsidRPr="00955023">
        <w:rPr>
          <w:rFonts w:ascii="Times New Roman" w:hAnsi="Times New Roman" w:cs="Times New Roman"/>
          <w:sz w:val="28"/>
          <w:szCs w:val="28"/>
        </w:rPr>
        <w:t xml:space="preserve"> and </w:t>
      </w:r>
      <w:r w:rsidRPr="00955023">
        <w:rPr>
          <w:rFonts w:ascii="Times New Roman" w:hAnsi="Times New Roman" w:cs="Times New Roman"/>
          <w:i/>
          <w:sz w:val="28"/>
          <w:szCs w:val="28"/>
        </w:rPr>
        <w:t>Karingithi</w:t>
      </w:r>
      <w:r w:rsidRPr="00955023">
        <w:rPr>
          <w:rFonts w:ascii="Times New Roman" w:hAnsi="Times New Roman" w:cs="Times New Roman"/>
          <w:sz w:val="28"/>
          <w:szCs w:val="28"/>
        </w:rPr>
        <w:t xml:space="preserve"> are consistent, as under both decisions, an omission of some of the information required by § 1003.14(a) and § 1003.15(b)(6) can be cured and is not fatal.” </w:t>
      </w:r>
    </w:p>
    <w:p w14:paraId="6DAB6087" w14:textId="35696579" w:rsidR="00624453" w:rsidRPr="00955023" w:rsidRDefault="00547470" w:rsidP="00196310">
      <w:pPr>
        <w:pStyle w:val="BodyTextFirstIndent"/>
        <w:spacing w:after="0" w:line="480" w:lineRule="auto"/>
        <w:ind w:firstLine="0"/>
        <w:rPr>
          <w:rFonts w:ascii="Times New Roman" w:hAnsi="Times New Roman" w:cs="Times New Roman"/>
          <w:sz w:val="28"/>
          <w:szCs w:val="28"/>
        </w:rPr>
      </w:pPr>
      <w:r w:rsidRPr="00955023">
        <w:rPr>
          <w:rFonts w:ascii="Times New Roman" w:hAnsi="Times New Roman" w:cs="Times New Roman"/>
          <w:i/>
          <w:sz w:val="28"/>
          <w:szCs w:val="28"/>
        </w:rPr>
        <w:t xml:space="preserve">Aguilar </w:t>
      </w:r>
      <w:r w:rsidR="00AB63A1" w:rsidRPr="00955023">
        <w:rPr>
          <w:rFonts w:ascii="Times New Roman" w:hAnsi="Times New Roman" w:cs="Times New Roman"/>
          <w:i/>
          <w:sz w:val="28"/>
          <w:szCs w:val="28"/>
        </w:rPr>
        <w:t xml:space="preserve">Fermin v. Barr, </w:t>
      </w:r>
      <w:r w:rsidR="00AB63A1" w:rsidRPr="00955023">
        <w:rPr>
          <w:rFonts w:ascii="Times New Roman" w:hAnsi="Times New Roman" w:cs="Times New Roman"/>
          <w:sz w:val="28"/>
          <w:szCs w:val="28"/>
        </w:rPr>
        <w:t>958 F.3d 887 (9</w:t>
      </w:r>
      <w:r w:rsidR="00AB63A1" w:rsidRPr="00955023">
        <w:rPr>
          <w:rFonts w:ascii="Times New Roman" w:hAnsi="Times New Roman" w:cs="Times New Roman"/>
          <w:sz w:val="28"/>
          <w:szCs w:val="28"/>
          <w:vertAlign w:val="superscript"/>
        </w:rPr>
        <w:t>th</w:t>
      </w:r>
      <w:r w:rsidR="00AB63A1" w:rsidRPr="00955023">
        <w:rPr>
          <w:rFonts w:ascii="Times New Roman" w:hAnsi="Times New Roman" w:cs="Times New Roman"/>
          <w:sz w:val="28"/>
          <w:szCs w:val="28"/>
        </w:rPr>
        <w:t xml:space="preserve"> Cir. 2020) at 4. In light of </w:t>
      </w:r>
      <w:r w:rsidR="00AB63A1" w:rsidRPr="00955023">
        <w:rPr>
          <w:rFonts w:ascii="Times New Roman" w:hAnsi="Times New Roman" w:cs="Times New Roman"/>
          <w:i/>
          <w:sz w:val="28"/>
          <w:szCs w:val="28"/>
        </w:rPr>
        <w:t>Niz-Chavez v Garland</w:t>
      </w:r>
      <w:r w:rsidR="00AB63A1" w:rsidRPr="00955023">
        <w:rPr>
          <w:rFonts w:ascii="Times New Roman" w:hAnsi="Times New Roman" w:cs="Times New Roman"/>
          <w:sz w:val="28"/>
          <w:szCs w:val="28"/>
        </w:rPr>
        <w:t>, 593 U.S. ___ (2021) the omission of some information may not be cured by any subsequent notice, because the statute requires the notice to be a single document.</w:t>
      </w:r>
      <w:r w:rsidRPr="00955023">
        <w:rPr>
          <w:rFonts w:ascii="Times New Roman" w:hAnsi="Times New Roman" w:cs="Times New Roman"/>
          <w:sz w:val="28"/>
          <w:szCs w:val="28"/>
        </w:rPr>
        <w:t xml:space="preserve"> </w:t>
      </w:r>
      <w:r w:rsidR="00624453" w:rsidRPr="00955023">
        <w:rPr>
          <w:rFonts w:ascii="Times New Roman" w:hAnsi="Times New Roman" w:cs="Times New Roman"/>
          <w:sz w:val="28"/>
          <w:szCs w:val="28"/>
        </w:rPr>
        <w:t xml:space="preserve">The </w:t>
      </w:r>
      <w:r w:rsidR="00624453" w:rsidRPr="00955023">
        <w:rPr>
          <w:rFonts w:ascii="Times New Roman" w:hAnsi="Times New Roman" w:cs="Times New Roman"/>
          <w:i/>
          <w:sz w:val="28"/>
          <w:szCs w:val="28"/>
        </w:rPr>
        <w:t xml:space="preserve">Niz-Chavez </w:t>
      </w:r>
      <w:r w:rsidR="00624453" w:rsidRPr="00955023">
        <w:rPr>
          <w:rFonts w:ascii="Times New Roman" w:hAnsi="Times New Roman" w:cs="Times New Roman"/>
          <w:sz w:val="28"/>
          <w:szCs w:val="28"/>
        </w:rPr>
        <w:t xml:space="preserve">precedent resolved the legal issue which Supreme Court described as follows, </w:t>
      </w:r>
    </w:p>
    <w:p w14:paraId="62A3054A" w14:textId="77777777" w:rsidR="00624453" w:rsidRPr="00955023" w:rsidRDefault="00624453" w:rsidP="00196310">
      <w:pPr>
        <w:spacing w:line="480" w:lineRule="auto"/>
        <w:ind w:left="720" w:firstLine="360"/>
        <w:rPr>
          <w:sz w:val="28"/>
          <w:szCs w:val="28"/>
        </w:rPr>
      </w:pPr>
      <w:r w:rsidRPr="00955023">
        <w:rPr>
          <w:sz w:val="28"/>
          <w:szCs w:val="28"/>
        </w:rPr>
        <w:t>“The question for us is whether the law Congress adopted tolerates the</w:t>
      </w:r>
    </w:p>
    <w:p w14:paraId="230ED79A" w14:textId="77777777" w:rsidR="00624453" w:rsidRPr="00955023" w:rsidRDefault="00624453" w:rsidP="00196310">
      <w:pPr>
        <w:spacing w:line="480" w:lineRule="auto"/>
        <w:ind w:left="720" w:firstLine="360"/>
        <w:rPr>
          <w:sz w:val="28"/>
          <w:szCs w:val="28"/>
        </w:rPr>
      </w:pPr>
      <w:r w:rsidRPr="00955023">
        <w:rPr>
          <w:sz w:val="28"/>
          <w:szCs w:val="28"/>
        </w:rPr>
        <w:t xml:space="preserve">  government’s preferred practice.” </w:t>
      </w:r>
    </w:p>
    <w:p w14:paraId="0B72021F" w14:textId="77777777" w:rsidR="00624453" w:rsidRPr="00955023" w:rsidRDefault="00624453" w:rsidP="00196310">
      <w:pPr>
        <w:spacing w:line="480" w:lineRule="auto"/>
        <w:rPr>
          <w:sz w:val="28"/>
          <w:szCs w:val="28"/>
        </w:rPr>
      </w:pPr>
      <w:r w:rsidRPr="00955023">
        <w:rPr>
          <w:i/>
          <w:sz w:val="28"/>
          <w:szCs w:val="28"/>
        </w:rPr>
        <w:t>Niz-Chavez v Garland</w:t>
      </w:r>
      <w:r w:rsidRPr="00955023">
        <w:rPr>
          <w:sz w:val="28"/>
          <w:szCs w:val="28"/>
        </w:rPr>
        <w:t xml:space="preserve">, 593 U.S. ___ (2021) at 1.  The </w:t>
      </w:r>
      <w:r w:rsidRPr="00955023">
        <w:rPr>
          <w:i/>
          <w:sz w:val="28"/>
          <w:szCs w:val="28"/>
        </w:rPr>
        <w:t xml:space="preserve">Niz-Chavez </w:t>
      </w:r>
      <w:r w:rsidRPr="00955023">
        <w:rPr>
          <w:sz w:val="28"/>
          <w:szCs w:val="28"/>
        </w:rPr>
        <w:t xml:space="preserve">precedent construed the statute to </w:t>
      </w:r>
      <w:r w:rsidRPr="00955023">
        <w:rPr>
          <w:i/>
          <w:sz w:val="28"/>
          <w:szCs w:val="28"/>
        </w:rPr>
        <w:t>not</w:t>
      </w:r>
      <w:r w:rsidRPr="00955023">
        <w:rPr>
          <w:sz w:val="28"/>
          <w:szCs w:val="28"/>
        </w:rPr>
        <w:t xml:space="preserve"> tolerate the government’s preferred practice. </w:t>
      </w:r>
    </w:p>
    <w:p w14:paraId="2FC80434" w14:textId="77777777" w:rsidR="00624453" w:rsidRPr="00955023" w:rsidRDefault="00624453" w:rsidP="00196310">
      <w:pPr>
        <w:spacing w:line="480" w:lineRule="auto"/>
        <w:ind w:left="1440"/>
        <w:rPr>
          <w:sz w:val="28"/>
          <w:szCs w:val="28"/>
        </w:rPr>
      </w:pPr>
      <w:r w:rsidRPr="00955023">
        <w:rPr>
          <w:sz w:val="28"/>
          <w:szCs w:val="28"/>
        </w:rPr>
        <w:t xml:space="preserve"> “Our only job today is to give the law’s terms their ordinary meaning and, in that small way, ensure the federal government does not exceed its statutory license. Interpreting the phrase “a notice to appear” to require a single notice—rather than 2 or 20 documents—does just that.” </w:t>
      </w:r>
    </w:p>
    <w:p w14:paraId="2756076C" w14:textId="7D6F37D1" w:rsidR="00624453" w:rsidRPr="00955023" w:rsidRDefault="00CE678B" w:rsidP="00196310">
      <w:pPr>
        <w:spacing w:line="480" w:lineRule="auto"/>
        <w:rPr>
          <w:sz w:val="28"/>
          <w:szCs w:val="28"/>
        </w:rPr>
      </w:pPr>
      <w:r w:rsidRPr="00955023">
        <w:rPr>
          <w:i/>
          <w:sz w:val="28"/>
          <w:szCs w:val="28"/>
        </w:rPr>
        <w:t>Niz-Chavez v Garland</w:t>
      </w:r>
      <w:r w:rsidRPr="00955023">
        <w:rPr>
          <w:sz w:val="28"/>
          <w:szCs w:val="28"/>
        </w:rPr>
        <w:t>, 593 U.S. ___ (2021)</w:t>
      </w:r>
      <w:r w:rsidR="00624453" w:rsidRPr="00955023">
        <w:rPr>
          <w:sz w:val="28"/>
          <w:szCs w:val="28"/>
        </w:rPr>
        <w:t xml:space="preserve"> at 16. </w:t>
      </w:r>
      <w:r w:rsidR="00624453" w:rsidRPr="00955023">
        <w:rPr>
          <w:i/>
          <w:sz w:val="28"/>
          <w:szCs w:val="28"/>
        </w:rPr>
        <w:t>Niz-Chavez</w:t>
      </w:r>
      <w:r w:rsidR="00624453" w:rsidRPr="00955023">
        <w:rPr>
          <w:sz w:val="28"/>
          <w:szCs w:val="28"/>
        </w:rPr>
        <w:t xml:space="preserve"> forbids the two-step process and abrogates any regulation or precedent in favor of the two-step process as contrary to the statute. </w:t>
      </w:r>
    </w:p>
    <w:p w14:paraId="2A678D7B" w14:textId="151C38C4" w:rsidR="00624453" w:rsidRPr="00955023" w:rsidRDefault="00624453" w:rsidP="00196310">
      <w:pPr>
        <w:spacing w:line="480" w:lineRule="auto"/>
        <w:ind w:firstLine="360"/>
        <w:rPr>
          <w:sz w:val="28"/>
          <w:szCs w:val="28"/>
        </w:rPr>
      </w:pPr>
      <w:r w:rsidRPr="00955023">
        <w:rPr>
          <w:sz w:val="28"/>
          <w:szCs w:val="28"/>
        </w:rPr>
        <w:t>“… [O]ur point is that each case-initiating document must contain the catalogue of information Congress has said the defendant or respondent is entitled to receive in that document—and no one thinks this information may be provided by installment.</w:t>
      </w:r>
      <w:r w:rsidR="00D66325" w:rsidRPr="00955023">
        <w:rPr>
          <w:sz w:val="28"/>
          <w:szCs w:val="28"/>
        </w:rPr>
        <w:t xml:space="preserve">” </w:t>
      </w:r>
      <w:r w:rsidR="0053471E" w:rsidRPr="00955023">
        <w:rPr>
          <w:i/>
          <w:sz w:val="28"/>
          <w:szCs w:val="28"/>
        </w:rPr>
        <w:t>Niz-Chavez v Garland</w:t>
      </w:r>
      <w:r w:rsidR="0053471E" w:rsidRPr="00955023">
        <w:rPr>
          <w:sz w:val="28"/>
          <w:szCs w:val="28"/>
        </w:rPr>
        <w:t>, 593 U.S. ___ (2021)</w:t>
      </w:r>
      <w:r w:rsidR="008B2C47" w:rsidRPr="00955023">
        <w:rPr>
          <w:i/>
          <w:sz w:val="28"/>
          <w:szCs w:val="28"/>
        </w:rPr>
        <w:t>,</w:t>
      </w:r>
      <w:r w:rsidRPr="00955023">
        <w:rPr>
          <w:sz w:val="28"/>
          <w:szCs w:val="28"/>
        </w:rPr>
        <w:t xml:space="preserve"> FN 2 at 8. </w:t>
      </w:r>
    </w:p>
    <w:p w14:paraId="2766AED2" w14:textId="77777777" w:rsidR="00547470" w:rsidRPr="00955023" w:rsidRDefault="00547470" w:rsidP="00196310">
      <w:pPr>
        <w:spacing w:line="480" w:lineRule="auto"/>
        <w:ind w:firstLine="360"/>
        <w:rPr>
          <w:sz w:val="28"/>
          <w:szCs w:val="28"/>
        </w:rPr>
      </w:pPr>
    </w:p>
    <w:p w14:paraId="294D7C4B" w14:textId="2255CADE" w:rsidR="00547470" w:rsidRPr="00955023" w:rsidRDefault="00D66325" w:rsidP="00196310">
      <w:pPr>
        <w:spacing w:line="480" w:lineRule="auto"/>
        <w:ind w:firstLine="360"/>
        <w:rPr>
          <w:sz w:val="28"/>
          <w:szCs w:val="28"/>
        </w:rPr>
      </w:pPr>
      <w:r w:rsidRPr="00955023">
        <w:rPr>
          <w:sz w:val="28"/>
          <w:szCs w:val="28"/>
        </w:rPr>
        <w:t xml:space="preserve">Legal authorities predating </w:t>
      </w:r>
      <w:r w:rsidRPr="00955023">
        <w:rPr>
          <w:i/>
          <w:sz w:val="28"/>
          <w:szCs w:val="28"/>
        </w:rPr>
        <w:t>Niz-Chavez v Garland</w:t>
      </w:r>
      <w:r w:rsidRPr="00955023">
        <w:rPr>
          <w:sz w:val="28"/>
          <w:szCs w:val="28"/>
        </w:rPr>
        <w:t>, 593 U.S. ___ (2021)</w:t>
      </w:r>
      <w:r w:rsidRPr="00955023">
        <w:rPr>
          <w:sz w:val="28"/>
          <w:szCs w:val="28"/>
        </w:rPr>
        <w:t xml:space="preserve"> either do not deal with subject-matter jurisdiction of an Immigration Court to hold removal proceedings against a foreign national, or have been overruled. </w:t>
      </w:r>
    </w:p>
    <w:p w14:paraId="3CF1C66B" w14:textId="38D62F2D" w:rsidR="00D66325" w:rsidRDefault="00D66325" w:rsidP="00196310">
      <w:pPr>
        <w:spacing w:line="480" w:lineRule="auto"/>
        <w:ind w:firstLine="360"/>
        <w:rPr>
          <w:sz w:val="28"/>
          <w:szCs w:val="28"/>
        </w:rPr>
      </w:pPr>
      <w:r w:rsidRPr="00955023">
        <w:rPr>
          <w:sz w:val="28"/>
          <w:szCs w:val="28"/>
        </w:rPr>
        <w:t>Notably, regulations</w:t>
      </w:r>
      <w:r w:rsidR="00196310">
        <w:rPr>
          <w:sz w:val="28"/>
          <w:szCs w:val="28"/>
        </w:rPr>
        <w:t xml:space="preserve"> do</w:t>
      </w:r>
      <w:r w:rsidRPr="00955023">
        <w:rPr>
          <w:sz w:val="28"/>
          <w:szCs w:val="28"/>
        </w:rPr>
        <w:t xml:space="preserve"> not address removal proceedings, but </w:t>
      </w:r>
      <w:r w:rsidR="00352206" w:rsidRPr="00955023">
        <w:rPr>
          <w:sz w:val="28"/>
          <w:szCs w:val="28"/>
        </w:rPr>
        <w:t>proceedings. Regulations do not govern subject-matter jurisdiction, but jurisdiction. Proceedings are not necessarily removal proceedings. Jurisdiction is not necessarily subject-matter jurisdictions. In light of federal presumption of lack of subject-matter jurisdiction, regulations do not help to establish subject-matter jurisdiction of an Immigration Court to hold removal proceedings.</w:t>
      </w:r>
    </w:p>
    <w:p w14:paraId="3C1A9916" w14:textId="77777777" w:rsidR="003124C9" w:rsidRPr="00955023" w:rsidRDefault="003124C9" w:rsidP="00196310">
      <w:pPr>
        <w:spacing w:line="480" w:lineRule="auto"/>
        <w:ind w:firstLine="360"/>
        <w:rPr>
          <w:sz w:val="28"/>
          <w:szCs w:val="28"/>
        </w:rPr>
      </w:pPr>
    </w:p>
    <w:p w14:paraId="24AA49BD" w14:textId="14B6990F" w:rsidR="00352206" w:rsidRPr="003124C9" w:rsidRDefault="003124C9" w:rsidP="003124C9">
      <w:pPr>
        <w:spacing w:line="480" w:lineRule="auto"/>
        <w:ind w:firstLine="360"/>
        <w:jc w:val="center"/>
        <w:rPr>
          <w:b/>
          <w:sz w:val="28"/>
          <w:szCs w:val="28"/>
          <w:u w:val="single"/>
        </w:rPr>
      </w:pPr>
      <w:bookmarkStart w:id="0" w:name="_GoBack"/>
      <w:r w:rsidRPr="003124C9">
        <w:rPr>
          <w:b/>
          <w:sz w:val="28"/>
          <w:szCs w:val="28"/>
          <w:u w:val="single"/>
        </w:rPr>
        <w:t>Conclusion</w:t>
      </w:r>
    </w:p>
    <w:bookmarkEnd w:id="0"/>
    <w:p w14:paraId="7AD2DB8A" w14:textId="4B3D962A" w:rsidR="00074359" w:rsidRPr="00955023" w:rsidRDefault="003124C9" w:rsidP="00196310">
      <w:pPr>
        <w:spacing w:line="480" w:lineRule="auto"/>
        <w:ind w:firstLine="360"/>
        <w:rPr>
          <w:sz w:val="28"/>
          <w:szCs w:val="28"/>
        </w:rPr>
      </w:pPr>
      <w:r>
        <w:rPr>
          <w:sz w:val="28"/>
          <w:szCs w:val="28"/>
        </w:rPr>
        <w:t xml:space="preserve">This Court may find lack of subject-matter jurisdiction to hold removal proceedings against Respondent solely upon the legal presumption that subject-matter does not exist. Government has not overcome this presumption. In light of </w:t>
      </w:r>
      <w:r w:rsidRPr="00955023">
        <w:rPr>
          <w:i/>
          <w:sz w:val="28"/>
          <w:szCs w:val="28"/>
        </w:rPr>
        <w:t>Niz-Chavez v Garland</w:t>
      </w:r>
      <w:r w:rsidRPr="00955023">
        <w:rPr>
          <w:sz w:val="28"/>
          <w:szCs w:val="28"/>
        </w:rPr>
        <w:t>, 593 U.S. ___ (2021)</w:t>
      </w:r>
      <w:r>
        <w:rPr>
          <w:sz w:val="28"/>
          <w:szCs w:val="28"/>
        </w:rPr>
        <w:t>, the prior precedents of lower courts in support of the “two-step process” are abrogated, and government is precluded from overcoming the presumption of non-existence of subject matter jurisdiction absent a statutorily compliant NTA served on Respondent.</w:t>
      </w:r>
    </w:p>
    <w:p w14:paraId="2C43C030" w14:textId="77777777" w:rsidR="00A7254D" w:rsidRPr="00955023" w:rsidRDefault="00A7254D" w:rsidP="00196310">
      <w:pPr>
        <w:spacing w:line="480" w:lineRule="auto"/>
        <w:ind w:firstLine="360"/>
        <w:rPr>
          <w:sz w:val="28"/>
          <w:szCs w:val="28"/>
        </w:rPr>
      </w:pPr>
    </w:p>
    <w:p w14:paraId="3E30B9D2" w14:textId="77777777" w:rsidR="00A7254D" w:rsidRPr="00955023" w:rsidRDefault="00A7254D" w:rsidP="00196310">
      <w:pPr>
        <w:spacing w:line="480" w:lineRule="auto"/>
        <w:ind w:firstLine="360"/>
        <w:rPr>
          <w:sz w:val="28"/>
          <w:szCs w:val="28"/>
        </w:rPr>
      </w:pPr>
    </w:p>
    <w:p w14:paraId="6E557298" w14:textId="77777777" w:rsidR="00A7254D" w:rsidRPr="00955023" w:rsidRDefault="00A7254D" w:rsidP="00196310">
      <w:pPr>
        <w:spacing w:line="480" w:lineRule="auto"/>
        <w:ind w:firstLine="360"/>
        <w:rPr>
          <w:sz w:val="28"/>
          <w:szCs w:val="28"/>
        </w:rPr>
      </w:pPr>
    </w:p>
    <w:p w14:paraId="030804FE" w14:textId="77777777" w:rsidR="0095692F" w:rsidRPr="00955023" w:rsidRDefault="0095692F" w:rsidP="00196310">
      <w:pPr>
        <w:spacing w:line="480" w:lineRule="auto"/>
        <w:rPr>
          <w:sz w:val="28"/>
          <w:szCs w:val="28"/>
        </w:rPr>
      </w:pPr>
    </w:p>
    <w:sectPr w:rsidR="0095692F" w:rsidRPr="00955023" w:rsidSect="00F65AC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B803D" w14:textId="77777777" w:rsidR="004D2C8B" w:rsidRDefault="004D2C8B" w:rsidP="00624453">
      <w:r>
        <w:separator/>
      </w:r>
    </w:p>
  </w:endnote>
  <w:endnote w:type="continuationSeparator" w:id="0">
    <w:p w14:paraId="4BA79397" w14:textId="77777777" w:rsidR="004D2C8B" w:rsidRDefault="004D2C8B" w:rsidP="0062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AAED" w14:textId="77777777" w:rsidR="00277C03" w:rsidRDefault="00277C03" w:rsidP="00074E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2AD6A" w14:textId="77777777" w:rsidR="00277C03" w:rsidRDefault="00277C03" w:rsidP="00277C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E8D0" w14:textId="77777777" w:rsidR="00277C03" w:rsidRDefault="00277C03" w:rsidP="00074E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C8B">
      <w:rPr>
        <w:rStyle w:val="PageNumber"/>
        <w:noProof/>
      </w:rPr>
      <w:t>1</w:t>
    </w:r>
    <w:r>
      <w:rPr>
        <w:rStyle w:val="PageNumber"/>
      </w:rPr>
      <w:fldChar w:fldCharType="end"/>
    </w:r>
  </w:p>
  <w:p w14:paraId="7BE5A543" w14:textId="77777777" w:rsidR="00277C03" w:rsidRDefault="00277C03" w:rsidP="00277C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061D" w14:textId="77777777" w:rsidR="004D2C8B" w:rsidRDefault="004D2C8B" w:rsidP="00624453">
      <w:r>
        <w:separator/>
      </w:r>
    </w:p>
  </w:footnote>
  <w:footnote w:type="continuationSeparator" w:id="0">
    <w:p w14:paraId="6CA0A478" w14:textId="77777777" w:rsidR="004D2C8B" w:rsidRDefault="004D2C8B" w:rsidP="006244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5F13"/>
    <w:multiLevelType w:val="hybridMultilevel"/>
    <w:tmpl w:val="5FE66E24"/>
    <w:lvl w:ilvl="0" w:tplc="FD4AC4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53"/>
    <w:rsid w:val="00031455"/>
    <w:rsid w:val="00064E46"/>
    <w:rsid w:val="00074359"/>
    <w:rsid w:val="00093053"/>
    <w:rsid w:val="000A7CA0"/>
    <w:rsid w:val="000B2376"/>
    <w:rsid w:val="000F2877"/>
    <w:rsid w:val="00111315"/>
    <w:rsid w:val="00166562"/>
    <w:rsid w:val="00184D98"/>
    <w:rsid w:val="001853E9"/>
    <w:rsid w:val="00187009"/>
    <w:rsid w:val="00196310"/>
    <w:rsid w:val="001D498F"/>
    <w:rsid w:val="001E1127"/>
    <w:rsid w:val="00231013"/>
    <w:rsid w:val="00260E94"/>
    <w:rsid w:val="00277C03"/>
    <w:rsid w:val="002A5D9B"/>
    <w:rsid w:val="002E4E3E"/>
    <w:rsid w:val="003124C9"/>
    <w:rsid w:val="00313A1A"/>
    <w:rsid w:val="00314B87"/>
    <w:rsid w:val="00331D18"/>
    <w:rsid w:val="00352206"/>
    <w:rsid w:val="003877F4"/>
    <w:rsid w:val="00416754"/>
    <w:rsid w:val="00444506"/>
    <w:rsid w:val="004D2C8B"/>
    <w:rsid w:val="004F5140"/>
    <w:rsid w:val="0053471E"/>
    <w:rsid w:val="005355ED"/>
    <w:rsid w:val="00547470"/>
    <w:rsid w:val="005724F6"/>
    <w:rsid w:val="00596FE3"/>
    <w:rsid w:val="00624453"/>
    <w:rsid w:val="006311E8"/>
    <w:rsid w:val="00664B4D"/>
    <w:rsid w:val="00682928"/>
    <w:rsid w:val="00684123"/>
    <w:rsid w:val="006D2604"/>
    <w:rsid w:val="007319B9"/>
    <w:rsid w:val="00751F3E"/>
    <w:rsid w:val="00812F20"/>
    <w:rsid w:val="00834563"/>
    <w:rsid w:val="008803BA"/>
    <w:rsid w:val="008B2C47"/>
    <w:rsid w:val="00921D2E"/>
    <w:rsid w:val="00924A60"/>
    <w:rsid w:val="009411F6"/>
    <w:rsid w:val="00955023"/>
    <w:rsid w:val="0095692F"/>
    <w:rsid w:val="00965041"/>
    <w:rsid w:val="009B79E5"/>
    <w:rsid w:val="009E0635"/>
    <w:rsid w:val="00A36DF3"/>
    <w:rsid w:val="00A452B3"/>
    <w:rsid w:val="00A7254D"/>
    <w:rsid w:val="00AB63A1"/>
    <w:rsid w:val="00AF281C"/>
    <w:rsid w:val="00B16F8C"/>
    <w:rsid w:val="00B25484"/>
    <w:rsid w:val="00B25ADE"/>
    <w:rsid w:val="00B42A72"/>
    <w:rsid w:val="00B812E8"/>
    <w:rsid w:val="00BB0990"/>
    <w:rsid w:val="00BC3B3D"/>
    <w:rsid w:val="00BF46C7"/>
    <w:rsid w:val="00BF6B06"/>
    <w:rsid w:val="00C3067C"/>
    <w:rsid w:val="00CA12C7"/>
    <w:rsid w:val="00CE678B"/>
    <w:rsid w:val="00CF0803"/>
    <w:rsid w:val="00D426A4"/>
    <w:rsid w:val="00D66325"/>
    <w:rsid w:val="00DA01E9"/>
    <w:rsid w:val="00DD38C7"/>
    <w:rsid w:val="00E36D2D"/>
    <w:rsid w:val="00E37111"/>
    <w:rsid w:val="00E97F4D"/>
    <w:rsid w:val="00EA1D91"/>
    <w:rsid w:val="00EB7B3C"/>
    <w:rsid w:val="00ED678E"/>
    <w:rsid w:val="00F0646E"/>
    <w:rsid w:val="00F65AC9"/>
    <w:rsid w:val="00F715B5"/>
    <w:rsid w:val="00FB6FA1"/>
    <w:rsid w:val="00FC4C86"/>
    <w:rsid w:val="00FD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DC7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B4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24453"/>
    <w:pPr>
      <w:widowControl w:val="0"/>
      <w:tabs>
        <w:tab w:val="left" w:pos="-720"/>
      </w:tabs>
      <w:suppressAutoHyphens/>
      <w:autoSpaceDE w:val="0"/>
      <w:autoSpaceDN w:val="0"/>
      <w:adjustRightInd w:val="0"/>
      <w:spacing w:line="240" w:lineRule="atLeast"/>
    </w:pPr>
    <w:rPr>
      <w:rFonts w:ascii="Courier New" w:eastAsia="Times New Roman" w:hAnsi="Courier New" w:cs="Courier New"/>
    </w:rPr>
  </w:style>
  <w:style w:type="character" w:customStyle="1" w:styleId="FootnoteTextChar">
    <w:name w:val="Footnote Text Char"/>
    <w:basedOn w:val="DefaultParagraphFont"/>
    <w:link w:val="FootnoteText"/>
    <w:uiPriority w:val="99"/>
    <w:rsid w:val="00624453"/>
    <w:rPr>
      <w:rFonts w:ascii="Courier New" w:eastAsia="Times New Roman" w:hAnsi="Courier New" w:cs="Courier New"/>
    </w:rPr>
  </w:style>
  <w:style w:type="character" w:styleId="FootnoteReference">
    <w:name w:val="footnote reference"/>
    <w:uiPriority w:val="99"/>
    <w:rsid w:val="00624453"/>
    <w:rPr>
      <w:rFonts w:ascii="Times New Roman" w:hAnsi="Times New Roman" w:cs="Times New Roman" w:hint="default"/>
      <w:sz w:val="24"/>
      <w:szCs w:val="24"/>
      <w:vertAlign w:val="superscript"/>
      <w:lang w:val="en-US"/>
    </w:rPr>
  </w:style>
  <w:style w:type="paragraph" w:styleId="BodyText">
    <w:name w:val="Body Text"/>
    <w:basedOn w:val="Normal"/>
    <w:link w:val="BodyTextChar"/>
    <w:uiPriority w:val="99"/>
    <w:semiHidden/>
    <w:unhideWhenUsed/>
    <w:rsid w:val="00624453"/>
    <w:pPr>
      <w:spacing w:after="120" w:line="508" w:lineRule="exact"/>
    </w:pPr>
    <w:rPr>
      <w:rFonts w:ascii="Courier New" w:eastAsia="Times New Roman" w:hAnsi="Courier New" w:cs="Courier New"/>
      <w:sz w:val="20"/>
      <w:szCs w:val="20"/>
    </w:rPr>
  </w:style>
  <w:style w:type="character" w:customStyle="1" w:styleId="BodyTextChar">
    <w:name w:val="Body Text Char"/>
    <w:basedOn w:val="DefaultParagraphFont"/>
    <w:link w:val="BodyText"/>
    <w:uiPriority w:val="99"/>
    <w:semiHidden/>
    <w:rsid w:val="00624453"/>
    <w:rPr>
      <w:rFonts w:ascii="Courier New" w:eastAsia="Times New Roman" w:hAnsi="Courier New" w:cs="Courier New"/>
      <w:sz w:val="20"/>
      <w:szCs w:val="20"/>
    </w:rPr>
  </w:style>
  <w:style w:type="paragraph" w:styleId="BodyTextFirstIndent">
    <w:name w:val="Body Text First Indent"/>
    <w:basedOn w:val="BodyText"/>
    <w:link w:val="BodyTextFirstIndentChar"/>
    <w:rsid w:val="00624453"/>
    <w:pPr>
      <w:ind w:firstLine="210"/>
    </w:pPr>
  </w:style>
  <w:style w:type="character" w:customStyle="1" w:styleId="BodyTextFirstIndentChar">
    <w:name w:val="Body Text First Indent Char"/>
    <w:basedOn w:val="BodyTextChar"/>
    <w:link w:val="BodyTextFirstIndent"/>
    <w:rsid w:val="00624453"/>
    <w:rPr>
      <w:rFonts w:ascii="Courier New" w:eastAsia="Times New Roman" w:hAnsi="Courier New" w:cs="Courier New"/>
      <w:sz w:val="20"/>
      <w:szCs w:val="20"/>
    </w:rPr>
  </w:style>
  <w:style w:type="paragraph" w:styleId="NormalWeb">
    <w:name w:val="Normal (Web)"/>
    <w:basedOn w:val="Normal"/>
    <w:uiPriority w:val="99"/>
    <w:unhideWhenUsed/>
    <w:rsid w:val="00624453"/>
    <w:pPr>
      <w:spacing w:after="15"/>
    </w:pPr>
    <w:rPr>
      <w:rFonts w:eastAsia="Times New Roman"/>
    </w:rPr>
  </w:style>
  <w:style w:type="paragraph" w:styleId="Footer">
    <w:name w:val="footer"/>
    <w:basedOn w:val="Normal"/>
    <w:link w:val="FooterChar"/>
    <w:uiPriority w:val="99"/>
    <w:unhideWhenUsed/>
    <w:rsid w:val="00277C03"/>
    <w:pPr>
      <w:tabs>
        <w:tab w:val="center" w:pos="4680"/>
        <w:tab w:val="right" w:pos="9360"/>
      </w:tabs>
    </w:pPr>
  </w:style>
  <w:style w:type="character" w:customStyle="1" w:styleId="FooterChar">
    <w:name w:val="Footer Char"/>
    <w:basedOn w:val="DefaultParagraphFont"/>
    <w:link w:val="Footer"/>
    <w:uiPriority w:val="99"/>
    <w:rsid w:val="00277C03"/>
    <w:rPr>
      <w:rFonts w:ascii="Times New Roman" w:hAnsi="Times New Roman" w:cs="Times New Roman"/>
    </w:rPr>
  </w:style>
  <w:style w:type="character" w:styleId="PageNumber">
    <w:name w:val="page number"/>
    <w:basedOn w:val="DefaultParagraphFont"/>
    <w:uiPriority w:val="99"/>
    <w:semiHidden/>
    <w:unhideWhenUsed/>
    <w:rsid w:val="00277C03"/>
  </w:style>
  <w:style w:type="character" w:customStyle="1" w:styleId="apple-converted-space">
    <w:name w:val="apple-converted-space"/>
    <w:basedOn w:val="DefaultParagraphFont"/>
    <w:rsid w:val="00664B4D"/>
  </w:style>
  <w:style w:type="character" w:styleId="Hyperlink">
    <w:name w:val="Hyperlink"/>
    <w:basedOn w:val="DefaultParagraphFont"/>
    <w:uiPriority w:val="99"/>
    <w:semiHidden/>
    <w:unhideWhenUsed/>
    <w:rsid w:val="00664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0728">
      <w:bodyDiv w:val="1"/>
      <w:marLeft w:val="0"/>
      <w:marRight w:val="0"/>
      <w:marTop w:val="0"/>
      <w:marBottom w:val="0"/>
      <w:divBdr>
        <w:top w:val="none" w:sz="0" w:space="0" w:color="auto"/>
        <w:left w:val="none" w:sz="0" w:space="0" w:color="auto"/>
        <w:bottom w:val="none" w:sz="0" w:space="0" w:color="auto"/>
        <w:right w:val="none" w:sz="0" w:space="0" w:color="auto"/>
      </w:divBdr>
      <w:divsChild>
        <w:div w:id="1284114460">
          <w:marLeft w:val="0"/>
          <w:marRight w:val="0"/>
          <w:marTop w:val="0"/>
          <w:marBottom w:val="0"/>
          <w:divBdr>
            <w:top w:val="none" w:sz="0" w:space="0" w:color="auto"/>
            <w:left w:val="none" w:sz="0" w:space="0" w:color="auto"/>
            <w:bottom w:val="none" w:sz="0" w:space="0" w:color="auto"/>
            <w:right w:val="none" w:sz="0" w:space="0" w:color="auto"/>
          </w:divBdr>
          <w:divsChild>
            <w:div w:id="967930706">
              <w:marLeft w:val="0"/>
              <w:marRight w:val="0"/>
              <w:marTop w:val="0"/>
              <w:marBottom w:val="0"/>
              <w:divBdr>
                <w:top w:val="none" w:sz="0" w:space="0" w:color="auto"/>
                <w:left w:val="none" w:sz="0" w:space="0" w:color="auto"/>
                <w:bottom w:val="none" w:sz="0" w:space="0" w:color="auto"/>
                <w:right w:val="none" w:sz="0" w:space="0" w:color="auto"/>
              </w:divBdr>
              <w:divsChild>
                <w:div w:id="5864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36253">
      <w:bodyDiv w:val="1"/>
      <w:marLeft w:val="0"/>
      <w:marRight w:val="0"/>
      <w:marTop w:val="0"/>
      <w:marBottom w:val="0"/>
      <w:divBdr>
        <w:top w:val="none" w:sz="0" w:space="0" w:color="auto"/>
        <w:left w:val="none" w:sz="0" w:space="0" w:color="auto"/>
        <w:bottom w:val="none" w:sz="0" w:space="0" w:color="auto"/>
        <w:right w:val="none" w:sz="0" w:space="0" w:color="auto"/>
      </w:divBdr>
      <w:divsChild>
        <w:div w:id="378744372">
          <w:marLeft w:val="0"/>
          <w:marRight w:val="0"/>
          <w:marTop w:val="0"/>
          <w:marBottom w:val="0"/>
          <w:divBdr>
            <w:top w:val="none" w:sz="0" w:space="0" w:color="auto"/>
            <w:left w:val="none" w:sz="0" w:space="0" w:color="auto"/>
            <w:bottom w:val="none" w:sz="0" w:space="0" w:color="auto"/>
            <w:right w:val="none" w:sz="0" w:space="0" w:color="auto"/>
          </w:divBdr>
          <w:divsChild>
            <w:div w:id="159926588">
              <w:marLeft w:val="0"/>
              <w:marRight w:val="0"/>
              <w:marTop w:val="0"/>
              <w:marBottom w:val="0"/>
              <w:divBdr>
                <w:top w:val="none" w:sz="0" w:space="0" w:color="auto"/>
                <w:left w:val="none" w:sz="0" w:space="0" w:color="auto"/>
                <w:bottom w:val="none" w:sz="0" w:space="0" w:color="auto"/>
                <w:right w:val="none" w:sz="0" w:space="0" w:color="auto"/>
              </w:divBdr>
              <w:divsChild>
                <w:div w:id="478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58601">
      <w:bodyDiv w:val="1"/>
      <w:marLeft w:val="0"/>
      <w:marRight w:val="0"/>
      <w:marTop w:val="0"/>
      <w:marBottom w:val="0"/>
      <w:divBdr>
        <w:top w:val="none" w:sz="0" w:space="0" w:color="auto"/>
        <w:left w:val="none" w:sz="0" w:space="0" w:color="auto"/>
        <w:bottom w:val="none" w:sz="0" w:space="0" w:color="auto"/>
        <w:right w:val="none" w:sz="0" w:space="0" w:color="auto"/>
      </w:divBdr>
      <w:divsChild>
        <w:div w:id="1237713060">
          <w:marLeft w:val="0"/>
          <w:marRight w:val="0"/>
          <w:marTop w:val="0"/>
          <w:marBottom w:val="0"/>
          <w:divBdr>
            <w:top w:val="none" w:sz="0" w:space="0" w:color="auto"/>
            <w:left w:val="none" w:sz="0" w:space="0" w:color="auto"/>
            <w:bottom w:val="none" w:sz="0" w:space="0" w:color="auto"/>
            <w:right w:val="none" w:sz="0" w:space="0" w:color="auto"/>
          </w:divBdr>
          <w:divsChild>
            <w:div w:id="302976163">
              <w:marLeft w:val="0"/>
              <w:marRight w:val="0"/>
              <w:marTop w:val="0"/>
              <w:marBottom w:val="0"/>
              <w:divBdr>
                <w:top w:val="none" w:sz="0" w:space="0" w:color="auto"/>
                <w:left w:val="none" w:sz="0" w:space="0" w:color="auto"/>
                <w:bottom w:val="none" w:sz="0" w:space="0" w:color="auto"/>
                <w:right w:val="none" w:sz="0" w:space="0" w:color="auto"/>
              </w:divBdr>
              <w:divsChild>
                <w:div w:id="18781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1236">
      <w:bodyDiv w:val="1"/>
      <w:marLeft w:val="0"/>
      <w:marRight w:val="0"/>
      <w:marTop w:val="0"/>
      <w:marBottom w:val="0"/>
      <w:divBdr>
        <w:top w:val="none" w:sz="0" w:space="0" w:color="auto"/>
        <w:left w:val="none" w:sz="0" w:space="0" w:color="auto"/>
        <w:bottom w:val="none" w:sz="0" w:space="0" w:color="auto"/>
        <w:right w:val="none" w:sz="0" w:space="0" w:color="auto"/>
      </w:divBdr>
      <w:divsChild>
        <w:div w:id="976909761">
          <w:marLeft w:val="0"/>
          <w:marRight w:val="0"/>
          <w:marTop w:val="0"/>
          <w:marBottom w:val="0"/>
          <w:divBdr>
            <w:top w:val="none" w:sz="0" w:space="0" w:color="auto"/>
            <w:left w:val="none" w:sz="0" w:space="0" w:color="auto"/>
            <w:bottom w:val="none" w:sz="0" w:space="0" w:color="auto"/>
            <w:right w:val="none" w:sz="0" w:space="0" w:color="auto"/>
          </w:divBdr>
          <w:divsChild>
            <w:div w:id="1610160635">
              <w:marLeft w:val="0"/>
              <w:marRight w:val="0"/>
              <w:marTop w:val="0"/>
              <w:marBottom w:val="0"/>
              <w:divBdr>
                <w:top w:val="none" w:sz="0" w:space="0" w:color="auto"/>
                <w:left w:val="none" w:sz="0" w:space="0" w:color="auto"/>
                <w:bottom w:val="none" w:sz="0" w:space="0" w:color="auto"/>
                <w:right w:val="none" w:sz="0" w:space="0" w:color="auto"/>
              </w:divBdr>
              <w:divsChild>
                <w:div w:id="2361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5535">
      <w:bodyDiv w:val="1"/>
      <w:marLeft w:val="0"/>
      <w:marRight w:val="0"/>
      <w:marTop w:val="0"/>
      <w:marBottom w:val="0"/>
      <w:divBdr>
        <w:top w:val="none" w:sz="0" w:space="0" w:color="auto"/>
        <w:left w:val="none" w:sz="0" w:space="0" w:color="auto"/>
        <w:bottom w:val="none" w:sz="0" w:space="0" w:color="auto"/>
        <w:right w:val="none" w:sz="0" w:space="0" w:color="auto"/>
      </w:divBdr>
      <w:divsChild>
        <w:div w:id="735933489">
          <w:marLeft w:val="0"/>
          <w:marRight w:val="0"/>
          <w:marTop w:val="0"/>
          <w:marBottom w:val="0"/>
          <w:divBdr>
            <w:top w:val="none" w:sz="0" w:space="0" w:color="auto"/>
            <w:left w:val="none" w:sz="0" w:space="0" w:color="auto"/>
            <w:bottom w:val="none" w:sz="0" w:space="0" w:color="auto"/>
            <w:right w:val="none" w:sz="0" w:space="0" w:color="auto"/>
          </w:divBdr>
          <w:divsChild>
            <w:div w:id="301229301">
              <w:marLeft w:val="0"/>
              <w:marRight w:val="0"/>
              <w:marTop w:val="0"/>
              <w:marBottom w:val="0"/>
              <w:divBdr>
                <w:top w:val="none" w:sz="0" w:space="0" w:color="auto"/>
                <w:left w:val="none" w:sz="0" w:space="0" w:color="auto"/>
                <w:bottom w:val="none" w:sz="0" w:space="0" w:color="auto"/>
                <w:right w:val="none" w:sz="0" w:space="0" w:color="auto"/>
              </w:divBdr>
              <w:divsChild>
                <w:div w:id="16447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6329">
      <w:bodyDiv w:val="1"/>
      <w:marLeft w:val="0"/>
      <w:marRight w:val="0"/>
      <w:marTop w:val="0"/>
      <w:marBottom w:val="0"/>
      <w:divBdr>
        <w:top w:val="none" w:sz="0" w:space="0" w:color="auto"/>
        <w:left w:val="none" w:sz="0" w:space="0" w:color="auto"/>
        <w:bottom w:val="none" w:sz="0" w:space="0" w:color="auto"/>
        <w:right w:val="none" w:sz="0" w:space="0" w:color="auto"/>
      </w:divBdr>
      <w:divsChild>
        <w:div w:id="304283649">
          <w:marLeft w:val="0"/>
          <w:marRight w:val="0"/>
          <w:marTop w:val="0"/>
          <w:marBottom w:val="0"/>
          <w:divBdr>
            <w:top w:val="none" w:sz="0" w:space="0" w:color="auto"/>
            <w:left w:val="none" w:sz="0" w:space="0" w:color="auto"/>
            <w:bottom w:val="none" w:sz="0" w:space="0" w:color="auto"/>
            <w:right w:val="none" w:sz="0" w:space="0" w:color="auto"/>
          </w:divBdr>
          <w:divsChild>
            <w:div w:id="1660426876">
              <w:marLeft w:val="0"/>
              <w:marRight w:val="0"/>
              <w:marTop w:val="0"/>
              <w:marBottom w:val="0"/>
              <w:divBdr>
                <w:top w:val="none" w:sz="0" w:space="0" w:color="auto"/>
                <w:left w:val="none" w:sz="0" w:space="0" w:color="auto"/>
                <w:bottom w:val="none" w:sz="0" w:space="0" w:color="auto"/>
                <w:right w:val="none" w:sz="0" w:space="0" w:color="auto"/>
              </w:divBdr>
              <w:divsChild>
                <w:div w:id="1187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8162">
      <w:bodyDiv w:val="1"/>
      <w:marLeft w:val="0"/>
      <w:marRight w:val="0"/>
      <w:marTop w:val="0"/>
      <w:marBottom w:val="0"/>
      <w:divBdr>
        <w:top w:val="none" w:sz="0" w:space="0" w:color="auto"/>
        <w:left w:val="none" w:sz="0" w:space="0" w:color="auto"/>
        <w:bottom w:val="none" w:sz="0" w:space="0" w:color="auto"/>
        <w:right w:val="none" w:sz="0" w:space="0" w:color="auto"/>
      </w:divBdr>
    </w:div>
    <w:div w:id="1030843021">
      <w:bodyDiv w:val="1"/>
      <w:marLeft w:val="0"/>
      <w:marRight w:val="0"/>
      <w:marTop w:val="0"/>
      <w:marBottom w:val="0"/>
      <w:divBdr>
        <w:top w:val="none" w:sz="0" w:space="0" w:color="auto"/>
        <w:left w:val="none" w:sz="0" w:space="0" w:color="auto"/>
        <w:bottom w:val="none" w:sz="0" w:space="0" w:color="auto"/>
        <w:right w:val="none" w:sz="0" w:space="0" w:color="auto"/>
      </w:divBdr>
      <w:divsChild>
        <w:div w:id="675957486">
          <w:marLeft w:val="0"/>
          <w:marRight w:val="0"/>
          <w:marTop w:val="0"/>
          <w:marBottom w:val="0"/>
          <w:divBdr>
            <w:top w:val="none" w:sz="0" w:space="0" w:color="auto"/>
            <w:left w:val="none" w:sz="0" w:space="0" w:color="auto"/>
            <w:bottom w:val="none" w:sz="0" w:space="0" w:color="auto"/>
            <w:right w:val="none" w:sz="0" w:space="0" w:color="auto"/>
          </w:divBdr>
          <w:divsChild>
            <w:div w:id="68041323">
              <w:marLeft w:val="0"/>
              <w:marRight w:val="0"/>
              <w:marTop w:val="0"/>
              <w:marBottom w:val="0"/>
              <w:divBdr>
                <w:top w:val="none" w:sz="0" w:space="0" w:color="auto"/>
                <w:left w:val="none" w:sz="0" w:space="0" w:color="auto"/>
                <w:bottom w:val="none" w:sz="0" w:space="0" w:color="auto"/>
                <w:right w:val="none" w:sz="0" w:space="0" w:color="auto"/>
              </w:divBdr>
              <w:divsChild>
                <w:div w:id="3676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095">
      <w:bodyDiv w:val="1"/>
      <w:marLeft w:val="0"/>
      <w:marRight w:val="0"/>
      <w:marTop w:val="0"/>
      <w:marBottom w:val="0"/>
      <w:divBdr>
        <w:top w:val="none" w:sz="0" w:space="0" w:color="auto"/>
        <w:left w:val="none" w:sz="0" w:space="0" w:color="auto"/>
        <w:bottom w:val="none" w:sz="0" w:space="0" w:color="auto"/>
        <w:right w:val="none" w:sz="0" w:space="0" w:color="auto"/>
      </w:divBdr>
    </w:div>
    <w:div w:id="1156847072">
      <w:bodyDiv w:val="1"/>
      <w:marLeft w:val="0"/>
      <w:marRight w:val="0"/>
      <w:marTop w:val="0"/>
      <w:marBottom w:val="0"/>
      <w:divBdr>
        <w:top w:val="none" w:sz="0" w:space="0" w:color="auto"/>
        <w:left w:val="none" w:sz="0" w:space="0" w:color="auto"/>
        <w:bottom w:val="none" w:sz="0" w:space="0" w:color="auto"/>
        <w:right w:val="none" w:sz="0" w:space="0" w:color="auto"/>
      </w:divBdr>
      <w:divsChild>
        <w:div w:id="2024819589">
          <w:marLeft w:val="0"/>
          <w:marRight w:val="0"/>
          <w:marTop w:val="0"/>
          <w:marBottom w:val="0"/>
          <w:divBdr>
            <w:top w:val="none" w:sz="0" w:space="0" w:color="auto"/>
            <w:left w:val="none" w:sz="0" w:space="0" w:color="auto"/>
            <w:bottom w:val="none" w:sz="0" w:space="0" w:color="auto"/>
            <w:right w:val="none" w:sz="0" w:space="0" w:color="auto"/>
          </w:divBdr>
          <w:divsChild>
            <w:div w:id="1383793757">
              <w:marLeft w:val="0"/>
              <w:marRight w:val="0"/>
              <w:marTop w:val="0"/>
              <w:marBottom w:val="0"/>
              <w:divBdr>
                <w:top w:val="none" w:sz="0" w:space="0" w:color="auto"/>
                <w:left w:val="none" w:sz="0" w:space="0" w:color="auto"/>
                <w:bottom w:val="none" w:sz="0" w:space="0" w:color="auto"/>
                <w:right w:val="none" w:sz="0" w:space="0" w:color="auto"/>
              </w:divBdr>
              <w:divsChild>
                <w:div w:id="10320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624">
      <w:bodyDiv w:val="1"/>
      <w:marLeft w:val="0"/>
      <w:marRight w:val="0"/>
      <w:marTop w:val="0"/>
      <w:marBottom w:val="0"/>
      <w:divBdr>
        <w:top w:val="none" w:sz="0" w:space="0" w:color="auto"/>
        <w:left w:val="none" w:sz="0" w:space="0" w:color="auto"/>
        <w:bottom w:val="none" w:sz="0" w:space="0" w:color="auto"/>
        <w:right w:val="none" w:sz="0" w:space="0" w:color="auto"/>
      </w:divBdr>
    </w:div>
    <w:div w:id="1396390447">
      <w:bodyDiv w:val="1"/>
      <w:marLeft w:val="0"/>
      <w:marRight w:val="0"/>
      <w:marTop w:val="0"/>
      <w:marBottom w:val="0"/>
      <w:divBdr>
        <w:top w:val="none" w:sz="0" w:space="0" w:color="auto"/>
        <w:left w:val="none" w:sz="0" w:space="0" w:color="auto"/>
        <w:bottom w:val="none" w:sz="0" w:space="0" w:color="auto"/>
        <w:right w:val="none" w:sz="0" w:space="0" w:color="auto"/>
      </w:divBdr>
      <w:divsChild>
        <w:div w:id="1373458003">
          <w:marLeft w:val="0"/>
          <w:marRight w:val="0"/>
          <w:marTop w:val="0"/>
          <w:marBottom w:val="0"/>
          <w:divBdr>
            <w:top w:val="none" w:sz="0" w:space="0" w:color="auto"/>
            <w:left w:val="none" w:sz="0" w:space="0" w:color="auto"/>
            <w:bottom w:val="none" w:sz="0" w:space="0" w:color="auto"/>
            <w:right w:val="none" w:sz="0" w:space="0" w:color="auto"/>
          </w:divBdr>
          <w:divsChild>
            <w:div w:id="2092966616">
              <w:marLeft w:val="0"/>
              <w:marRight w:val="0"/>
              <w:marTop w:val="0"/>
              <w:marBottom w:val="0"/>
              <w:divBdr>
                <w:top w:val="none" w:sz="0" w:space="0" w:color="auto"/>
                <w:left w:val="none" w:sz="0" w:space="0" w:color="auto"/>
                <w:bottom w:val="none" w:sz="0" w:space="0" w:color="auto"/>
                <w:right w:val="none" w:sz="0" w:space="0" w:color="auto"/>
              </w:divBdr>
              <w:divsChild>
                <w:div w:id="3274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5784">
      <w:bodyDiv w:val="1"/>
      <w:marLeft w:val="0"/>
      <w:marRight w:val="0"/>
      <w:marTop w:val="0"/>
      <w:marBottom w:val="0"/>
      <w:divBdr>
        <w:top w:val="none" w:sz="0" w:space="0" w:color="auto"/>
        <w:left w:val="none" w:sz="0" w:space="0" w:color="auto"/>
        <w:bottom w:val="none" w:sz="0" w:space="0" w:color="auto"/>
        <w:right w:val="none" w:sz="0" w:space="0" w:color="auto"/>
      </w:divBdr>
      <w:divsChild>
        <w:div w:id="1372463105">
          <w:marLeft w:val="0"/>
          <w:marRight w:val="0"/>
          <w:marTop w:val="0"/>
          <w:marBottom w:val="0"/>
          <w:divBdr>
            <w:top w:val="none" w:sz="0" w:space="0" w:color="auto"/>
            <w:left w:val="none" w:sz="0" w:space="0" w:color="auto"/>
            <w:bottom w:val="none" w:sz="0" w:space="0" w:color="auto"/>
            <w:right w:val="none" w:sz="0" w:space="0" w:color="auto"/>
          </w:divBdr>
          <w:divsChild>
            <w:div w:id="1015958902">
              <w:marLeft w:val="0"/>
              <w:marRight w:val="0"/>
              <w:marTop w:val="0"/>
              <w:marBottom w:val="0"/>
              <w:divBdr>
                <w:top w:val="none" w:sz="0" w:space="0" w:color="auto"/>
                <w:left w:val="none" w:sz="0" w:space="0" w:color="auto"/>
                <w:bottom w:val="none" w:sz="0" w:space="0" w:color="auto"/>
                <w:right w:val="none" w:sz="0" w:space="0" w:color="auto"/>
              </w:divBdr>
              <w:divsChild>
                <w:div w:id="14724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0446">
      <w:bodyDiv w:val="1"/>
      <w:marLeft w:val="0"/>
      <w:marRight w:val="0"/>
      <w:marTop w:val="0"/>
      <w:marBottom w:val="0"/>
      <w:divBdr>
        <w:top w:val="none" w:sz="0" w:space="0" w:color="auto"/>
        <w:left w:val="none" w:sz="0" w:space="0" w:color="auto"/>
        <w:bottom w:val="none" w:sz="0" w:space="0" w:color="auto"/>
        <w:right w:val="none" w:sz="0" w:space="0" w:color="auto"/>
      </w:divBdr>
    </w:div>
    <w:div w:id="1557857389">
      <w:bodyDiv w:val="1"/>
      <w:marLeft w:val="0"/>
      <w:marRight w:val="0"/>
      <w:marTop w:val="0"/>
      <w:marBottom w:val="0"/>
      <w:divBdr>
        <w:top w:val="none" w:sz="0" w:space="0" w:color="auto"/>
        <w:left w:val="none" w:sz="0" w:space="0" w:color="auto"/>
        <w:bottom w:val="none" w:sz="0" w:space="0" w:color="auto"/>
        <w:right w:val="none" w:sz="0" w:space="0" w:color="auto"/>
      </w:divBdr>
      <w:divsChild>
        <w:div w:id="1366754790">
          <w:marLeft w:val="0"/>
          <w:marRight w:val="0"/>
          <w:marTop w:val="0"/>
          <w:marBottom w:val="0"/>
          <w:divBdr>
            <w:top w:val="none" w:sz="0" w:space="0" w:color="auto"/>
            <w:left w:val="none" w:sz="0" w:space="0" w:color="auto"/>
            <w:bottom w:val="none" w:sz="0" w:space="0" w:color="auto"/>
            <w:right w:val="none" w:sz="0" w:space="0" w:color="auto"/>
          </w:divBdr>
          <w:divsChild>
            <w:div w:id="1971083382">
              <w:marLeft w:val="0"/>
              <w:marRight w:val="0"/>
              <w:marTop w:val="0"/>
              <w:marBottom w:val="0"/>
              <w:divBdr>
                <w:top w:val="none" w:sz="0" w:space="0" w:color="auto"/>
                <w:left w:val="none" w:sz="0" w:space="0" w:color="auto"/>
                <w:bottom w:val="none" w:sz="0" w:space="0" w:color="auto"/>
                <w:right w:val="none" w:sz="0" w:space="0" w:color="auto"/>
              </w:divBdr>
              <w:divsChild>
                <w:div w:id="4416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172">
      <w:bodyDiv w:val="1"/>
      <w:marLeft w:val="0"/>
      <w:marRight w:val="0"/>
      <w:marTop w:val="0"/>
      <w:marBottom w:val="0"/>
      <w:divBdr>
        <w:top w:val="none" w:sz="0" w:space="0" w:color="auto"/>
        <w:left w:val="none" w:sz="0" w:space="0" w:color="auto"/>
        <w:bottom w:val="none" w:sz="0" w:space="0" w:color="auto"/>
        <w:right w:val="none" w:sz="0" w:space="0" w:color="auto"/>
      </w:divBdr>
      <w:divsChild>
        <w:div w:id="195891314">
          <w:marLeft w:val="0"/>
          <w:marRight w:val="0"/>
          <w:marTop w:val="0"/>
          <w:marBottom w:val="0"/>
          <w:divBdr>
            <w:top w:val="none" w:sz="0" w:space="0" w:color="auto"/>
            <w:left w:val="none" w:sz="0" w:space="0" w:color="auto"/>
            <w:bottom w:val="none" w:sz="0" w:space="0" w:color="auto"/>
            <w:right w:val="none" w:sz="0" w:space="0" w:color="auto"/>
          </w:divBdr>
          <w:divsChild>
            <w:div w:id="2064136840">
              <w:marLeft w:val="0"/>
              <w:marRight w:val="0"/>
              <w:marTop w:val="0"/>
              <w:marBottom w:val="0"/>
              <w:divBdr>
                <w:top w:val="none" w:sz="0" w:space="0" w:color="auto"/>
                <w:left w:val="none" w:sz="0" w:space="0" w:color="auto"/>
                <w:bottom w:val="none" w:sz="0" w:space="0" w:color="auto"/>
                <w:right w:val="none" w:sz="0" w:space="0" w:color="auto"/>
              </w:divBdr>
              <w:divsChild>
                <w:div w:id="18904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36809">
      <w:bodyDiv w:val="1"/>
      <w:marLeft w:val="0"/>
      <w:marRight w:val="0"/>
      <w:marTop w:val="0"/>
      <w:marBottom w:val="0"/>
      <w:divBdr>
        <w:top w:val="none" w:sz="0" w:space="0" w:color="auto"/>
        <w:left w:val="none" w:sz="0" w:space="0" w:color="auto"/>
        <w:bottom w:val="none" w:sz="0" w:space="0" w:color="auto"/>
        <w:right w:val="none" w:sz="0" w:space="0" w:color="auto"/>
      </w:divBdr>
      <w:divsChild>
        <w:div w:id="453914864">
          <w:marLeft w:val="0"/>
          <w:marRight w:val="0"/>
          <w:marTop w:val="0"/>
          <w:marBottom w:val="0"/>
          <w:divBdr>
            <w:top w:val="none" w:sz="0" w:space="0" w:color="auto"/>
            <w:left w:val="none" w:sz="0" w:space="0" w:color="auto"/>
            <w:bottom w:val="none" w:sz="0" w:space="0" w:color="auto"/>
            <w:right w:val="none" w:sz="0" w:space="0" w:color="auto"/>
          </w:divBdr>
          <w:divsChild>
            <w:div w:id="2055881333">
              <w:marLeft w:val="0"/>
              <w:marRight w:val="0"/>
              <w:marTop w:val="0"/>
              <w:marBottom w:val="0"/>
              <w:divBdr>
                <w:top w:val="none" w:sz="0" w:space="0" w:color="auto"/>
                <w:left w:val="none" w:sz="0" w:space="0" w:color="auto"/>
                <w:bottom w:val="none" w:sz="0" w:space="0" w:color="auto"/>
                <w:right w:val="none" w:sz="0" w:space="0" w:color="auto"/>
              </w:divBdr>
              <w:divsChild>
                <w:div w:id="15814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asetext.com/admin-law/in-re-bermudez-cota" TargetMode="External"/><Relationship Id="rId8" Type="http://schemas.openxmlformats.org/officeDocument/2006/relationships/hyperlink" Target="https://casetext.com/case/lezama-garcia-v-holder"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14</Pages>
  <Words>2620</Words>
  <Characters>14939</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2021-06-03T01:22:00Z</dcterms:created>
  <dcterms:modified xsi:type="dcterms:W3CDTF">2021-06-04T15:25:00Z</dcterms:modified>
</cp:coreProperties>
</file>